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439" w:type="dxa"/>
        <w:jc w:val="center"/>
        <w:shd w:val="clear" w:color="auto" w:fill="auto"/>
        <w:tblLayout w:type="autofit"/>
        <w:tblCellMar>
          <w:top w:w="0" w:type="dxa"/>
          <w:left w:w="0" w:type="dxa"/>
          <w:bottom w:w="0" w:type="dxa"/>
          <w:right w:w="0" w:type="dxa"/>
        </w:tblCellMar>
      </w:tblPr>
      <w:tblGrid>
        <w:gridCol w:w="1776"/>
        <w:gridCol w:w="8663"/>
      </w:tblGrid>
      <w:tr>
        <w:tblPrEx>
          <w:shd w:val="clear" w:color="auto" w:fill="auto"/>
          <w:tblCellMar>
            <w:top w:w="0" w:type="dxa"/>
            <w:left w:w="0" w:type="dxa"/>
            <w:bottom w:w="0" w:type="dxa"/>
            <w:right w:w="0" w:type="dxa"/>
          </w:tblCellMar>
        </w:tblPrEx>
        <w:trPr>
          <w:trHeight w:val="15" w:hRule="atLeast"/>
          <w:jc w:val="center"/>
        </w:trPr>
        <w:tc>
          <w:tcPr>
            <w:tcW w:w="10439" w:type="dxa"/>
            <w:gridSpan w:val="2"/>
            <w:tcBorders>
              <w:top w:val="nil"/>
              <w:left w:val="nil"/>
              <w:bottom w:val="single" w:color="FF0000" w:sz="24" w:space="0"/>
              <w:right w:val="nil"/>
            </w:tcBorders>
            <w:shd w:val="clear" w:color="auto" w:fill="auto"/>
            <w:noWrap/>
            <w:tcMar>
              <w:top w:w="75" w:type="dxa"/>
              <w:left w:w="75" w:type="dxa"/>
              <w:bottom w:w="75" w:type="dxa"/>
              <w:right w:w="75" w:type="dxa"/>
            </w:tcMar>
            <w:vAlign w:val="center"/>
          </w:tcPr>
          <w:p>
            <w:pPr>
              <w:keepNext w:val="0"/>
              <w:keepLines w:val="0"/>
              <w:widowControl/>
              <w:suppressLineNumbers w:val="0"/>
              <w:spacing w:before="0" w:beforeAutospacing="0" w:after="120" w:afterLines="50" w:afterAutospacing="0"/>
              <w:ind w:left="0" w:right="0"/>
              <w:jc w:val="center"/>
              <w:rPr>
                <w:rFonts w:hint="eastAsia" w:ascii="黑体" w:hAnsi="宋体" w:eastAsia="黑体" w:cs="黑体"/>
                <w:b/>
                <w:bCs/>
                <w:color w:val="FF0000"/>
                <w:sz w:val="48"/>
                <w:szCs w:val="48"/>
                <w:lang w:val="en-US"/>
              </w:rPr>
            </w:pPr>
            <w:r>
              <w:rPr>
                <w:rFonts w:hint="eastAsia" w:ascii="黑体" w:hAnsi="宋体" w:eastAsia="黑体" w:cs="黑体"/>
                <w:b/>
                <w:bCs/>
                <w:color w:val="FF0000"/>
                <w:kern w:val="0"/>
                <w:sz w:val="48"/>
                <w:szCs w:val="48"/>
                <w:lang w:val="en-US" w:eastAsia="zh-CN" w:bidi="ar"/>
              </w:rPr>
              <w:t>广东东软学院教务部通知</w:t>
            </w:r>
          </w:p>
          <w:p>
            <w:pPr>
              <w:keepNext w:val="0"/>
              <w:keepLines w:val="0"/>
              <w:widowControl/>
              <w:suppressLineNumbers w:val="0"/>
              <w:spacing w:before="0" w:beforeAutospacing="0" w:after="0" w:afterAutospacing="0"/>
              <w:ind w:left="0" w:right="0"/>
              <w:jc w:val="right"/>
              <w:rPr>
                <w:rFonts w:hint="eastAsia" w:ascii="宋体" w:hAnsi="宋体" w:eastAsia="宋体" w:cs="宋体"/>
                <w:color w:val="000000"/>
                <w:sz w:val="24"/>
                <w:szCs w:val="24"/>
                <w:lang w:val="en-US"/>
              </w:rPr>
            </w:pPr>
            <w:r>
              <w:rPr>
                <w:rFonts w:hint="eastAsia" w:ascii="宋体" w:hAnsi="宋体" w:eastAsia="宋体" w:cs="宋体"/>
                <w:kern w:val="0"/>
                <w:sz w:val="24"/>
                <w:szCs w:val="24"/>
                <w:lang w:val="en-US" w:eastAsia="zh-CN" w:bidi="ar"/>
              </w:rPr>
              <w:t>校教[2</w:t>
            </w:r>
            <w:r>
              <w:rPr>
                <w:rFonts w:hint="eastAsia" w:ascii="宋体" w:hAnsi="宋体" w:eastAsia="宋体" w:cs="宋体"/>
                <w:color w:val="000000"/>
                <w:kern w:val="0"/>
                <w:sz w:val="24"/>
                <w:szCs w:val="24"/>
                <w:lang w:val="en-US" w:eastAsia="zh-CN" w:bidi="ar"/>
              </w:rPr>
              <w:t>022]165</w:t>
            </w:r>
            <w:bookmarkStart w:id="0" w:name="_GoBack"/>
            <w:bookmarkEnd w:id="0"/>
            <w:r>
              <w:rPr>
                <w:rFonts w:hint="eastAsia" w:ascii="宋体" w:hAnsi="宋体" w:eastAsia="宋体" w:cs="宋体"/>
                <w:color w:val="000000"/>
                <w:kern w:val="0"/>
                <w:sz w:val="24"/>
                <w:szCs w:val="24"/>
                <w:lang w:val="en-US" w:eastAsia="zh-CN" w:bidi="ar"/>
              </w:rPr>
              <w:t>号</w:t>
            </w:r>
          </w:p>
        </w:tc>
      </w:tr>
      <w:tr>
        <w:tblPrEx>
          <w:tblCellMar>
            <w:top w:w="0" w:type="dxa"/>
            <w:left w:w="0" w:type="dxa"/>
            <w:bottom w:w="0" w:type="dxa"/>
            <w:right w:w="0" w:type="dxa"/>
          </w:tblCellMar>
        </w:tblPrEx>
        <w:trPr>
          <w:trHeight w:val="176" w:hRule="atLeast"/>
          <w:jc w:val="center"/>
        </w:trPr>
        <w:tc>
          <w:tcPr>
            <w:tcW w:w="10439" w:type="dxa"/>
            <w:gridSpan w:val="2"/>
            <w:tcBorders>
              <w:top w:val="nil"/>
              <w:left w:val="nil"/>
              <w:bottom w:val="double" w:color="333399" w:sz="4" w:space="0"/>
              <w:right w:val="nil"/>
            </w:tcBorders>
            <w:shd w:val="clear" w:color="auto" w:fill="auto"/>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both"/>
              <w:rPr>
                <w:rFonts w:hint="eastAsia" w:ascii="Times New Roman" w:hAnsi="Times New Roman" w:cs="Times New Roman"/>
                <w:b/>
                <w:bCs/>
                <w:sz w:val="10"/>
                <w:szCs w:val="10"/>
                <w:lang w:val="en-US"/>
              </w:rPr>
            </w:pPr>
          </w:p>
        </w:tc>
      </w:tr>
      <w:tr>
        <w:tblPrEx>
          <w:tblCellMar>
            <w:top w:w="0" w:type="dxa"/>
            <w:left w:w="0" w:type="dxa"/>
            <w:bottom w:w="0" w:type="dxa"/>
            <w:right w:w="0" w:type="dxa"/>
          </w:tblCellMar>
        </w:tblPrEx>
        <w:trPr>
          <w:trHeight w:val="632" w:hRule="atLeast"/>
          <w:jc w:val="center"/>
        </w:trPr>
        <w:tc>
          <w:tcPr>
            <w:tcW w:w="1776" w:type="dxa"/>
            <w:tcBorders>
              <w:top w:val="nil"/>
              <w:left w:val="double" w:color="333399" w:sz="4" w:space="0"/>
              <w:bottom w:val="single" w:color="333399" w:sz="12" w:space="0"/>
              <w:right w:val="single" w:color="333399" w:sz="8" w:space="0"/>
            </w:tcBorders>
            <w:shd w:val="clear" w:color="auto" w:fill="99CC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sz w:val="28"/>
                <w:szCs w:val="28"/>
                <w:lang w:val="en-US"/>
              </w:rPr>
            </w:pPr>
            <w:r>
              <w:rPr>
                <w:rFonts w:hint="eastAsia" w:ascii="宋体" w:hAnsi="宋体" w:eastAsia="宋体" w:cs="宋体"/>
                <w:b/>
                <w:bCs/>
                <w:color w:val="auto"/>
                <w:kern w:val="0"/>
                <w:sz w:val="28"/>
                <w:szCs w:val="28"/>
                <w:lang w:val="en-US" w:eastAsia="zh-CN" w:bidi="ar"/>
              </w:rPr>
              <w:t>主</w:t>
            </w:r>
            <w:r>
              <w:rPr>
                <w:rFonts w:hint="default" w:ascii="Calibri" w:hAnsi="Calibri" w:eastAsia="宋体" w:cs="Calibri"/>
                <w:b/>
                <w:bCs/>
                <w:color w:val="auto"/>
                <w:kern w:val="0"/>
                <w:sz w:val="28"/>
                <w:szCs w:val="28"/>
                <w:lang w:val="en-US" w:eastAsia="zh-CN" w:bidi="ar"/>
              </w:rPr>
              <w:t>  </w:t>
            </w:r>
            <w:r>
              <w:rPr>
                <w:rFonts w:hint="eastAsia" w:ascii="宋体" w:hAnsi="宋体" w:eastAsia="宋体" w:cs="宋体"/>
                <w:b/>
                <w:bCs/>
                <w:color w:val="auto"/>
                <w:kern w:val="0"/>
                <w:sz w:val="28"/>
                <w:szCs w:val="28"/>
                <w:lang w:val="en-US" w:eastAsia="zh-CN" w:bidi="ar"/>
              </w:rPr>
              <w:t>题</w:t>
            </w:r>
          </w:p>
        </w:tc>
        <w:tc>
          <w:tcPr>
            <w:tcW w:w="8663" w:type="dxa"/>
            <w:tcBorders>
              <w:top w:val="nil"/>
              <w:left w:val="nil"/>
              <w:bottom w:val="single" w:color="333399" w:sz="12" w:space="0"/>
              <w:right w:val="double" w:color="333399" w:sz="4" w:space="0"/>
            </w:tcBorders>
            <w:shd w:val="clear" w:color="auto" w:fill="99CCFF"/>
            <w:noWrap/>
            <w:tcMar>
              <w:top w:w="75" w:type="dxa"/>
              <w:left w:w="75" w:type="dxa"/>
              <w:bottom w:w="75" w:type="dxa"/>
              <w:right w:w="75" w:type="dxa"/>
            </w:tcMar>
            <w:vAlign w:val="center"/>
          </w:tcPr>
          <w:p>
            <w:pPr>
              <w:keepNext w:val="0"/>
              <w:keepLines w:val="0"/>
              <w:widowControl/>
              <w:suppressLineNumbers w:val="0"/>
              <w:spacing w:before="0" w:beforeAutospacing="0" w:after="0" w:afterAutospacing="0" w:line="240" w:lineRule="auto"/>
              <w:ind w:left="0" w:right="0" w:firstLine="0"/>
              <w:jc w:val="center"/>
              <w:rPr>
                <w:rFonts w:hint="eastAsia" w:ascii="宋体" w:hAnsi="宋体" w:eastAsia="宋体" w:cs="宋体"/>
                <w:b/>
                <w:bCs/>
                <w:sz w:val="28"/>
                <w:szCs w:val="28"/>
                <w:lang w:val="en-US"/>
              </w:rPr>
            </w:pPr>
            <w:r>
              <w:rPr>
                <w:rFonts w:hint="eastAsia" w:ascii="宋体" w:hAnsi="宋体" w:eastAsia="宋体" w:cs="宋体"/>
                <w:b/>
                <w:bCs/>
                <w:color w:val="000000"/>
                <w:kern w:val="0"/>
                <w:sz w:val="28"/>
                <w:szCs w:val="28"/>
                <w:lang w:val="en-US" w:eastAsia="zh-CN" w:bidi="ar"/>
              </w:rPr>
              <w:t>关于2022年度教学质量与教学改革工程校级立项建设项目及省级推荐项目名单的公示</w:t>
            </w:r>
          </w:p>
        </w:tc>
      </w:tr>
      <w:tr>
        <w:tblPrEx>
          <w:tblCellMar>
            <w:top w:w="0" w:type="dxa"/>
            <w:left w:w="0" w:type="dxa"/>
            <w:bottom w:w="0" w:type="dxa"/>
            <w:right w:w="0" w:type="dxa"/>
          </w:tblCellMar>
        </w:tblPrEx>
        <w:trPr>
          <w:trHeight w:val="422" w:hRule="atLeast"/>
          <w:jc w:val="center"/>
        </w:trPr>
        <w:tc>
          <w:tcPr>
            <w:tcW w:w="10439" w:type="dxa"/>
            <w:gridSpan w:val="2"/>
            <w:tcBorders>
              <w:top w:val="nil"/>
              <w:left w:val="double" w:color="333399" w:sz="4" w:space="0"/>
              <w:bottom w:val="single" w:color="333399" w:sz="12" w:space="0"/>
              <w:right w:val="double" w:color="333399" w:sz="4" w:space="0"/>
            </w:tcBorders>
            <w:shd w:val="clear" w:color="auto" w:fill="auto"/>
            <w:noWrap/>
            <w:tcMar>
              <w:top w:w="75" w:type="dxa"/>
              <w:left w:w="75" w:type="dxa"/>
              <w:bottom w:w="75" w:type="dxa"/>
              <w:right w:w="75" w:type="dxa"/>
            </w:tcMar>
            <w:vAlign w:val="top"/>
          </w:tcPr>
          <w:p>
            <w:pPr>
              <w:keepNext w:val="0"/>
              <w:keepLines w:val="0"/>
              <w:widowControl/>
              <w:suppressLineNumbers w:val="0"/>
              <w:shd w:val="clear" w:fill="FFFFFF"/>
              <w:spacing w:before="0" w:beforeAutospacing="0" w:after="0" w:afterAutospacing="0" w:line="240" w:lineRule="auto"/>
              <w:ind w:left="0" w:right="0" w:firstLine="0"/>
              <w:jc w:val="both"/>
              <w:rPr>
                <w:rFonts w:hint="eastAsia"/>
                <w:b/>
                <w:bCs/>
                <w:lang w:val="en-US"/>
              </w:rPr>
            </w:pPr>
            <w:r>
              <w:rPr>
                <w:rFonts w:hint="eastAsia" w:ascii="宋体" w:hAnsi="宋体" w:eastAsia="宋体" w:cs="宋体"/>
                <w:b/>
                <w:bCs/>
                <w:color w:val="000000"/>
                <w:kern w:val="0"/>
                <w:sz w:val="24"/>
                <w:szCs w:val="24"/>
                <w:lang w:val="en-US" w:eastAsia="zh-CN" w:bidi="ar"/>
              </w:rPr>
              <w:t>各二级学院、部门：</w:t>
            </w:r>
          </w:p>
          <w:p>
            <w:pPr>
              <w:keepNext w:val="0"/>
              <w:keepLines w:val="0"/>
              <w:widowControl/>
              <w:suppressLineNumbers w:val="0"/>
              <w:spacing w:before="0" w:beforeAutospacing="1" w:after="0" w:afterAutospacing="1" w:line="360" w:lineRule="auto"/>
              <w:ind w:left="0" w:right="0" w:firstLine="482"/>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据《广东省本科高校“十四五”教学质量与教学改革工程建设实施方案》（粤教高〔2021〕3号）、《</w:t>
            </w:r>
            <w:r>
              <w:rPr>
                <w:rFonts w:hint="eastAsia" w:ascii="宋体" w:hAnsi="宋体" w:eastAsia="宋体" w:cs="宋体"/>
                <w:b w:val="0"/>
                <w:bCs w:val="0"/>
                <w:i w:val="0"/>
                <w:iCs w:val="0"/>
                <w:caps w:val="0"/>
                <w:color w:val="000000"/>
                <w:spacing w:val="0"/>
                <w:kern w:val="0"/>
                <w:sz w:val="24"/>
                <w:szCs w:val="24"/>
                <w:shd w:val="clear" w:fill="FFFFFF"/>
                <w:lang w:val="en-US" w:eastAsia="zh-CN" w:bidi="ar"/>
              </w:rPr>
              <w:t>广东省教育厅关于开展2022年度广东省本科高校教学质量与教学改革工程项目申报推荐工作的通知</w:t>
            </w:r>
            <w:r>
              <w:rPr>
                <w:rFonts w:hint="eastAsia" w:ascii="宋体" w:hAnsi="宋体" w:eastAsia="宋体" w:cs="宋体"/>
                <w:color w:val="000000"/>
                <w:kern w:val="0"/>
                <w:sz w:val="24"/>
                <w:szCs w:val="24"/>
                <w:lang w:val="en-US" w:eastAsia="zh-CN" w:bidi="ar"/>
              </w:rPr>
              <w:t>》等文件精神，根据年度教学工作安排，教务部组织开展了2022年度教学质量与教学改革工程（以下简称“质量工程”）项目推荐申报工作。</w:t>
            </w:r>
          </w:p>
          <w:p>
            <w:pPr>
              <w:keepNext w:val="0"/>
              <w:keepLines w:val="0"/>
              <w:widowControl/>
              <w:suppressLineNumbers w:val="0"/>
              <w:spacing w:before="0" w:beforeAutospacing="1" w:after="0" w:afterAutospacing="1" w:line="360" w:lineRule="auto"/>
              <w:ind w:left="0" w:right="0" w:firstLine="482"/>
              <w:jc w:val="left"/>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按《关于开展2022年度教学质量与教学改革工程项目校级申报立项和省级推荐申报工作的通知》（校教[2022]142号）安排，学校共收到36个项目立项申报书。经教务部审查、专家网络评审、现场会议评审等程序，最终确定立项质量工程项目共24个，包括专项项目4个及教改项目20个，现予以公示。</w:t>
            </w:r>
          </w:p>
          <w:p>
            <w:pPr>
              <w:keepNext w:val="0"/>
              <w:keepLines w:val="0"/>
              <w:widowControl/>
              <w:suppressLineNumbers w:val="0"/>
              <w:spacing w:before="0" w:beforeAutospacing="1" w:after="0" w:afterAutospacing="1" w:line="360" w:lineRule="auto"/>
              <w:ind w:left="0" w:right="0" w:firstLine="482"/>
              <w:jc w:val="left"/>
              <w:rPr>
                <w:rFonts w:hint="eastAsia" w:ascii="宋体" w:hAnsi="宋体" w:eastAsia="宋体" w:cs="宋体"/>
                <w:color w:val="000000"/>
                <w:kern w:val="0"/>
                <w:sz w:val="24"/>
                <w:szCs w:val="24"/>
                <w:lang w:val="en-US" w:eastAsia="zh-CN" w:bidi="ar"/>
              </w:rPr>
            </w:pPr>
            <w:r>
              <w:rPr>
                <w:rFonts w:hint="eastAsia" w:ascii="宋体" w:hAnsi="宋体" w:eastAsia="宋体" w:cs="宋体"/>
                <w:b w:val="0"/>
                <w:bCs w:val="0"/>
                <w:i w:val="0"/>
                <w:iCs w:val="0"/>
                <w:caps w:val="0"/>
                <w:color w:val="000000"/>
                <w:spacing w:val="0"/>
                <w:kern w:val="0"/>
                <w:sz w:val="24"/>
                <w:szCs w:val="24"/>
                <w:shd w:val="clear" w:fill="FFFFFF"/>
                <w:lang w:val="en-US" w:eastAsia="zh-CN" w:bidi="ar"/>
              </w:rPr>
              <w:t> 本</w:t>
            </w:r>
            <w:r>
              <w:rPr>
                <w:rFonts w:hint="eastAsia" w:ascii="宋体" w:hAnsi="宋体" w:eastAsia="宋体" w:cs="宋体"/>
                <w:color w:val="000000"/>
                <w:kern w:val="0"/>
                <w:sz w:val="24"/>
                <w:szCs w:val="24"/>
                <w:lang w:val="en-US" w:eastAsia="zh-CN" w:bidi="ar"/>
              </w:rPr>
              <w:t>次公示期为2022年11月4日至11月10日。任何学院、部门及个人如对所公示的项目持有异议，可在公示期内以书面形式将意见送达至教务部。意见所反映情况须具体真实，学院、部门提出异议须加盖公章，并写明联系人姓名、电话，个人提出异议须写明本人的真实姓名。不符合上述要求的异议不予受理。</w:t>
            </w:r>
          </w:p>
          <w:p>
            <w:pPr>
              <w:keepNext w:val="0"/>
              <w:keepLines w:val="0"/>
              <w:widowControl/>
              <w:suppressLineNumbers w:val="0"/>
              <w:spacing w:before="0" w:beforeAutospacing="1" w:after="0" w:afterAutospacing="1" w:line="360" w:lineRule="auto"/>
              <w:ind w:left="0" w:right="0" w:firstLine="482"/>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附件1：广东东软学院2022年度</w:t>
            </w:r>
            <w:r>
              <w:rPr>
                <w:rFonts w:hint="eastAsia" w:ascii="宋体" w:hAnsi="宋体" w:eastAsia="宋体" w:cs="宋体"/>
                <w:b w:val="0"/>
                <w:bCs w:val="0"/>
                <w:i w:val="0"/>
                <w:iCs w:val="0"/>
                <w:caps w:val="0"/>
                <w:color w:val="000000"/>
                <w:spacing w:val="0"/>
                <w:sz w:val="24"/>
                <w:szCs w:val="24"/>
                <w:shd w:val="clear" w:fill="FFFFFF"/>
              </w:rPr>
              <w:t>校级质量工程立项建设名单</w:t>
            </w:r>
          </w:p>
          <w:tbl>
            <w:tblPr>
              <w:tblStyle w:val="3"/>
              <w:tblW w:w="10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1426"/>
              <w:gridCol w:w="2874"/>
              <w:gridCol w:w="2661"/>
              <w:gridCol w:w="1335"/>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b/>
                      <w:color w:val="000000"/>
                      <w:kern w:val="0"/>
                      <w:sz w:val="28"/>
                      <w:szCs w:val="28"/>
                      <w:lang w:val="en-US" w:eastAsia="zh-CN" w:bidi="ar-SA"/>
                    </w:rPr>
                  </w:pPr>
                  <w:r>
                    <w:rPr>
                      <w:rFonts w:hint="eastAsia" w:ascii="仿宋" w:hAnsi="仿宋" w:eastAsia="仿宋" w:cs="宋体"/>
                      <w:b/>
                      <w:color w:val="000000"/>
                      <w:kern w:val="0"/>
                      <w:sz w:val="28"/>
                      <w:szCs w:val="28"/>
                    </w:rPr>
                    <w:t>序号</w:t>
                  </w:r>
                </w:p>
              </w:tc>
              <w:tc>
                <w:tcPr>
                  <w:tcW w:w="1426"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b/>
                      <w:color w:val="000000"/>
                      <w:kern w:val="0"/>
                      <w:sz w:val="28"/>
                      <w:szCs w:val="28"/>
                      <w:lang w:val="en-US" w:eastAsia="zh-CN" w:bidi="ar-SA"/>
                    </w:rPr>
                  </w:pPr>
                  <w:r>
                    <w:rPr>
                      <w:rFonts w:hint="eastAsia" w:ascii="仿宋" w:hAnsi="仿宋" w:eastAsia="仿宋" w:cs="宋体"/>
                      <w:b/>
                      <w:color w:val="000000"/>
                      <w:kern w:val="0"/>
                      <w:sz w:val="28"/>
                      <w:szCs w:val="28"/>
                    </w:rPr>
                    <w:t>项目类别</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b/>
                      <w:color w:val="000000"/>
                      <w:kern w:val="0"/>
                      <w:sz w:val="28"/>
                      <w:szCs w:val="28"/>
                      <w:lang w:val="en-US" w:eastAsia="zh-CN" w:bidi="ar-SA"/>
                    </w:rPr>
                  </w:pPr>
                  <w:r>
                    <w:rPr>
                      <w:rFonts w:hint="eastAsia" w:ascii="仿宋" w:hAnsi="仿宋" w:eastAsia="仿宋" w:cs="宋体"/>
                      <w:b/>
                      <w:color w:val="000000"/>
                      <w:kern w:val="0"/>
                      <w:sz w:val="28"/>
                      <w:szCs w:val="28"/>
                    </w:rPr>
                    <w:t>项目名称</w:t>
                  </w:r>
                </w:p>
              </w:tc>
              <w:tc>
                <w:tcPr>
                  <w:tcW w:w="2661"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b/>
                      <w:color w:val="000000"/>
                      <w:kern w:val="0"/>
                      <w:sz w:val="28"/>
                      <w:szCs w:val="28"/>
                      <w:lang w:val="en-US" w:eastAsia="zh-CN" w:bidi="ar-SA"/>
                    </w:rPr>
                  </w:pPr>
                  <w:r>
                    <w:rPr>
                      <w:rFonts w:hint="eastAsia" w:ascii="仿宋" w:hAnsi="仿宋" w:eastAsia="仿宋" w:cs="宋体"/>
                      <w:b/>
                      <w:color w:val="000000"/>
                      <w:kern w:val="0"/>
                      <w:sz w:val="28"/>
                      <w:szCs w:val="28"/>
                    </w:rPr>
                    <w:t>项目组成员</w:t>
                  </w:r>
                </w:p>
              </w:tc>
              <w:tc>
                <w:tcPr>
                  <w:tcW w:w="1335"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b/>
                      <w:color w:val="000000"/>
                      <w:kern w:val="0"/>
                      <w:sz w:val="28"/>
                      <w:szCs w:val="28"/>
                      <w:lang w:val="en-US" w:eastAsia="zh-CN" w:bidi="ar-SA"/>
                    </w:rPr>
                  </w:pPr>
                  <w:r>
                    <w:rPr>
                      <w:rFonts w:hint="eastAsia" w:ascii="仿宋" w:hAnsi="仿宋" w:eastAsia="仿宋" w:cs="宋体"/>
                      <w:b/>
                      <w:color w:val="000000"/>
                      <w:kern w:val="0"/>
                      <w:sz w:val="28"/>
                      <w:szCs w:val="28"/>
                    </w:rPr>
                    <w:t>所属学院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b/>
                      <w:color w:val="000000"/>
                      <w:kern w:val="0"/>
                      <w:sz w:val="28"/>
                      <w:szCs w:val="28"/>
                      <w:lang w:val="en-US" w:eastAsia="zh-CN"/>
                    </w:rPr>
                  </w:pPr>
                  <w:r>
                    <w:rPr>
                      <w:rFonts w:hint="eastAsia" w:ascii="仿宋" w:hAnsi="仿宋" w:eastAsia="仿宋" w:cs="宋体"/>
                      <w:b/>
                      <w:color w:val="000000"/>
                      <w:kern w:val="0"/>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1</w:t>
                  </w:r>
                </w:p>
              </w:tc>
              <w:tc>
                <w:tcPr>
                  <w:tcW w:w="1426"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科产教融合实践教学基地</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广东东软学院-佛山市电子商务协会实践教学基地</w:t>
                  </w:r>
                </w:p>
              </w:tc>
              <w:tc>
                <w:tcPr>
                  <w:tcW w:w="2661" w:type="dxa"/>
                  <w:vAlign w:val="center"/>
                </w:tcPr>
                <w:p>
                  <w:pPr>
                    <w:keepNext w:val="0"/>
                    <w:keepLines w:val="0"/>
                    <w:suppressLineNumbers w:val="0"/>
                    <w:spacing w:before="0" w:beforeAutospacing="0" w:after="0" w:afterAutospacing="0"/>
                    <w:ind w:left="0" w:leftChars="0" w:right="0" w:rightChars="0"/>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李曼、何明慧、包文夏、孙先艳、王东波、陈建松</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信息管理与工程学院</w:t>
                  </w:r>
                </w:p>
              </w:tc>
              <w:tc>
                <w:tcPr>
                  <w:tcW w:w="1227" w:type="dxa"/>
                  <w:vAlign w:val="center"/>
                </w:tcPr>
                <w:p>
                  <w:pPr>
                    <w:keepNext w:val="0"/>
                    <w:keepLines w:val="0"/>
                    <w:suppressLineNumbers w:val="0"/>
                    <w:spacing w:before="0" w:beforeAutospacing="0" w:after="0" w:afterAutospacing="0"/>
                    <w:ind w:left="0" w:right="0"/>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推荐申报省级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2</w:t>
                  </w:r>
                </w:p>
              </w:tc>
              <w:tc>
                <w:tcPr>
                  <w:tcW w:w="1426"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科产教融合实践教学基地</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广东东软学院-广宇科技科产教融合实践教学基地</w:t>
                  </w:r>
                </w:p>
              </w:tc>
              <w:tc>
                <w:tcPr>
                  <w:tcW w:w="2661" w:type="dxa"/>
                  <w:vAlign w:val="center"/>
                </w:tcPr>
                <w:p>
                  <w:pPr>
                    <w:keepNext w:val="0"/>
                    <w:keepLines w:val="0"/>
                    <w:suppressLineNumbers w:val="0"/>
                    <w:spacing w:before="0" w:beforeAutospacing="0" w:after="0" w:afterAutospacing="0"/>
                    <w:ind w:left="0" w:leftChars="0" w:right="0" w:rightChars="0"/>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李晶、马世登、李小峰、王千秋、魏菊霞、吕永国、刘超、姚庚梅、张彤宇、谢云、麦日升、向燕飞、李可可、徐婉珍、唐广花</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计算机学院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推荐申报省级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3</w:t>
                  </w:r>
                </w:p>
              </w:tc>
              <w:tc>
                <w:tcPr>
                  <w:tcW w:w="1426"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科产教融合实践教学基地</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外语类专业科产教一体化实践教学基地</w:t>
                  </w:r>
                </w:p>
              </w:tc>
              <w:tc>
                <w:tcPr>
                  <w:tcW w:w="2661" w:type="dxa"/>
                  <w:vAlign w:val="center"/>
                </w:tcPr>
                <w:p>
                  <w:pPr>
                    <w:keepNext w:val="0"/>
                    <w:keepLines w:val="0"/>
                    <w:suppressLineNumbers w:val="0"/>
                    <w:spacing w:before="0" w:beforeAutospacing="0" w:after="0" w:afterAutospacing="0"/>
                    <w:ind w:left="0" w:leftChars="0" w:right="0" w:rightChars="0"/>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陈继娜、王伟伟、陈若静、郑晓鑫、王玉峰、孙鹏、戚萍萍、李芳芳</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外国语学院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4</w:t>
                  </w:r>
                </w:p>
              </w:tc>
              <w:tc>
                <w:tcPr>
                  <w:tcW w:w="1426"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课程教研室</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《计算机组成原理》教研室</w:t>
                  </w:r>
                </w:p>
              </w:tc>
              <w:tc>
                <w:tcPr>
                  <w:tcW w:w="2661"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林瑾、姜丽、罗先录、吴家铸、马卫娇、赵勇、吴宏晶、佟向坤、江秀美</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计算机学院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5</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实践性教改</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大思政课视域下马原课程“微项目化”教学改革研究</w:t>
                  </w:r>
                </w:p>
              </w:tc>
              <w:tc>
                <w:tcPr>
                  <w:tcW w:w="2661"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李艳迪、郑丽佳、陈晓奕、林宝玉、郭小婷、杨志平</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马克思学院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推荐申报省级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6</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实践性教改</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“以问引思”——后疫情时代背景下《设计心理学》课程教学策略与实践研究</w:t>
                  </w:r>
                </w:p>
              </w:tc>
              <w:tc>
                <w:tcPr>
                  <w:tcW w:w="2661"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张雅钦、刘心佩、李欣儒、刘加纯、熊丹</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数字媒体与设计学院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推荐申报省级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7</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实践性教改</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中国文化元素赋能程序设计语言课程思政建设的实践改革与探索</w:t>
                  </w:r>
                </w:p>
              </w:tc>
              <w:tc>
                <w:tcPr>
                  <w:tcW w:w="2661"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陆冰琳、赖聿圆、莫幸清、李连、葸娟霞</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信息管理与工程学院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推荐申报省级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8</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实践性教改</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新文科背景下以POA理论为指导的《商务英语写作》课程教学改革</w:t>
                  </w:r>
                </w:p>
              </w:tc>
              <w:tc>
                <w:tcPr>
                  <w:tcW w:w="2661"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曹珲、刘鑫、刘文彬、陈洁仪、陈若静</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外国语学院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推荐申报省级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rPr>
                    <w:t>9</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实践性教改</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思政引领下应用型高校商务英语人才培养创新路径研究</w:t>
                  </w:r>
                </w:p>
              </w:tc>
              <w:tc>
                <w:tcPr>
                  <w:tcW w:w="2661"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戚萍萍、王伟伟、陈若静、谭赞、陈继娜、刘鑫</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外国语学院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推荐申报省级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themeColor="text1"/>
                      <w:kern w:val="0"/>
                      <w:sz w:val="24"/>
                      <w:szCs w:val="24"/>
                      <w:lang w:val="en-US" w:eastAsia="zh-CN" w:bidi="ar-SA"/>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实践性教改</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“社会主义核心价值观”引领下的《虚拟现实》课程建设与实践</w:t>
                  </w:r>
                </w:p>
              </w:tc>
              <w:tc>
                <w:tcPr>
                  <w:tcW w:w="2661"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魏菊霞、李晶、姚庚梅、吴志达、杜晓辉、张彤宇</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计算机学院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themeColor="text1"/>
                      <w:kern w:val="0"/>
                      <w:sz w:val="24"/>
                      <w:szCs w:val="24"/>
                      <w:lang w:val="en-US" w:eastAsia="zh-CN" w:bidi="ar-SA"/>
                      <w14:textFill>
                        <w14:solidFill>
                          <w14:schemeClr w14:val="tx1"/>
                        </w14:solidFill>
                      </w14:textFill>
                    </w:rPr>
                  </w:pPr>
                  <w:r>
                    <w:rPr>
                      <w:rFonts w:hint="eastAsia" w:ascii="仿宋" w:hAnsi="仿宋" w:eastAsia="仿宋" w:cs="宋体"/>
                      <w:color w:val="000000" w:themeColor="text1"/>
                      <w:kern w:val="0"/>
                      <w:sz w:val="24"/>
                      <w:szCs w:val="24"/>
                      <w:lang w:val="en-US" w:eastAsia="zh-CN"/>
                      <w14:textFill>
                        <w14:solidFill>
                          <w14:schemeClr w14:val="tx1"/>
                        </w14:solidFill>
                      </w14:textFill>
                    </w:rPr>
                    <w:t>11</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实践性教改</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新文科背景下工商管理专业大数据类课程思政建设与实践</w:t>
                  </w:r>
                </w:p>
              </w:tc>
              <w:tc>
                <w:tcPr>
                  <w:tcW w:w="2661"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柳仪、彭四平、肖海兵、吴婵、陈盼佳、张义先</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宋体"/>
                      <w:color w:val="000000"/>
                      <w:kern w:val="0"/>
                      <w:sz w:val="24"/>
                      <w:szCs w:val="24"/>
                      <w:lang w:val="en-US" w:eastAsia="zh-CN" w:bidi="ar-SA"/>
                    </w:rPr>
                    <w:t>商务管理学院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themeColor="text1"/>
                      <w:kern w:val="0"/>
                      <w:sz w:val="24"/>
                      <w:szCs w:val="24"/>
                      <w:lang w:val="en-US" w:eastAsia="zh-CN" w:bidi="ar-SA"/>
                      <w14:textFill>
                        <w14:solidFill>
                          <w14:schemeClr w14:val="tx1"/>
                        </w14:solidFill>
                      </w14:textFill>
                    </w:rPr>
                  </w:pPr>
                  <w:r>
                    <w:rPr>
                      <w:rFonts w:hint="eastAsia" w:ascii="仿宋" w:hAnsi="仿宋" w:eastAsia="仿宋" w:cs="宋体"/>
                      <w:color w:val="000000" w:themeColor="text1"/>
                      <w:kern w:val="0"/>
                      <w:sz w:val="24"/>
                      <w:szCs w:val="24"/>
                      <w:lang w:val="en-US" w:eastAsia="zh-CN"/>
                      <w14:textFill>
                        <w14:solidFill>
                          <w14:schemeClr w14:val="tx1"/>
                        </w14:solidFill>
                      </w14:textFill>
                    </w:rPr>
                    <w:t>12</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实践性教改</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基于TOPCARES-OBE理念的线上线下混合式教学研究和改革——以计算机系统基础课程为例</w:t>
                  </w:r>
                </w:p>
              </w:tc>
              <w:tc>
                <w:tcPr>
                  <w:tcW w:w="2661"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刘翠莲、罗泉、罗先录、向燕飞、麦日升</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计算机学院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themeColor="text1"/>
                      <w:kern w:val="0"/>
                      <w:sz w:val="24"/>
                      <w:szCs w:val="24"/>
                      <w:lang w:val="en-US" w:eastAsia="zh-CN" w:bidi="ar-SA"/>
                      <w14:textFill>
                        <w14:solidFill>
                          <w14:schemeClr w14:val="tx1"/>
                        </w14:solidFill>
                      </w14:textFill>
                    </w:rPr>
                  </w:pPr>
                  <w:r>
                    <w:rPr>
                      <w:rFonts w:hint="eastAsia" w:ascii="仿宋" w:hAnsi="仿宋" w:eastAsia="仿宋" w:cs="宋体"/>
                      <w:color w:val="000000" w:themeColor="text1"/>
                      <w:kern w:val="0"/>
                      <w:sz w:val="24"/>
                      <w:szCs w:val="24"/>
                      <w:lang w:val="en-US" w:eastAsia="zh-CN"/>
                      <w14:textFill>
                        <w14:solidFill>
                          <w14:schemeClr w14:val="tx1"/>
                        </w14:solidFill>
                      </w14:textFill>
                    </w:rPr>
                    <w:t>13</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实践性教改</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协同创新理论下的环境设计专业科产教深度融合研究</w:t>
                  </w:r>
                </w:p>
              </w:tc>
              <w:tc>
                <w:tcPr>
                  <w:tcW w:w="2661"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雷雅琴、刘加纯、黄兆嘉、袁艳青、何卉娟</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数字媒体与设计学院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themeColor="text1"/>
                      <w:kern w:val="0"/>
                      <w:sz w:val="24"/>
                      <w:szCs w:val="24"/>
                      <w:lang w:val="en-US" w:eastAsia="zh-CN" w:bidi="ar-SA"/>
                      <w14:textFill>
                        <w14:solidFill>
                          <w14:schemeClr w14:val="tx1"/>
                        </w14:solidFill>
                      </w14:textFill>
                    </w:rPr>
                  </w:pPr>
                  <w:r>
                    <w:rPr>
                      <w:rFonts w:hint="eastAsia" w:ascii="仿宋" w:hAnsi="仿宋" w:eastAsia="仿宋" w:cs="宋体"/>
                      <w:color w:val="000000" w:themeColor="text1"/>
                      <w:kern w:val="0"/>
                      <w:sz w:val="24"/>
                      <w:szCs w:val="24"/>
                      <w:lang w:val="en-US" w:eastAsia="zh-CN"/>
                      <w14:textFill>
                        <w14:solidFill>
                          <w14:schemeClr w14:val="tx1"/>
                        </w14:solidFill>
                      </w14:textFill>
                    </w:rPr>
                    <w:t>14</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实践性教改</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基于TOPCARES工程教育理念的程序设计类课程思政体系研究与实践</w:t>
                  </w:r>
                </w:p>
              </w:tc>
              <w:tc>
                <w:tcPr>
                  <w:tcW w:w="2661" w:type="dxa"/>
                  <w:vAlign w:val="center"/>
                </w:tcPr>
                <w:p>
                  <w:pPr>
                    <w:keepNext w:val="0"/>
                    <w:keepLines w:val="0"/>
                    <w:suppressLineNumbers w:val="0"/>
                    <w:spacing w:before="0" w:beforeAutospacing="0" w:after="0" w:afterAutospacing="0"/>
                    <w:ind w:left="0" w:leftChars="0" w:right="0" w:rightChars="0"/>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覃福钿、李晶、周富肯、魏菊霞、黄中友、向燕飞、黄仲英</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计算机学院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themeColor="text1"/>
                      <w:kern w:val="0"/>
                      <w:sz w:val="24"/>
                      <w:szCs w:val="24"/>
                      <w:lang w:val="en-US" w:eastAsia="zh-CN" w:bidi="ar-SA"/>
                      <w14:textFill>
                        <w14:solidFill>
                          <w14:schemeClr w14:val="tx1"/>
                        </w14:solidFill>
                      </w14:textFill>
                    </w:rPr>
                  </w:pPr>
                  <w:r>
                    <w:rPr>
                      <w:rFonts w:hint="eastAsia" w:ascii="仿宋" w:hAnsi="仿宋" w:eastAsia="仿宋" w:cs="宋体"/>
                      <w:color w:val="000000" w:themeColor="text1"/>
                      <w:kern w:val="0"/>
                      <w:sz w:val="24"/>
                      <w:szCs w:val="24"/>
                      <w:lang w:val="en-US" w:eastAsia="zh-CN"/>
                      <w14:textFill>
                        <w14:solidFill>
                          <w14:schemeClr w14:val="tx1"/>
                        </w14:solidFill>
                      </w14:textFill>
                    </w:rPr>
                    <w:t>15</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实践性教改</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人工智能背景下《商务英语笔译》课程教学改革探索与实践</w:t>
                  </w:r>
                </w:p>
              </w:tc>
              <w:tc>
                <w:tcPr>
                  <w:tcW w:w="2661"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丁悦、刘文彬、武子暄、戚萍萍、陈若静</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外国语学院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themeColor="text1"/>
                      <w:kern w:val="0"/>
                      <w:sz w:val="24"/>
                      <w:szCs w:val="24"/>
                      <w:lang w:val="en-US" w:eastAsia="zh-CN" w:bidi="ar-SA"/>
                      <w14:textFill>
                        <w14:solidFill>
                          <w14:schemeClr w14:val="tx1"/>
                        </w14:solidFill>
                      </w14:textFill>
                    </w:rPr>
                  </w:pPr>
                  <w:r>
                    <w:rPr>
                      <w:rFonts w:hint="eastAsia" w:ascii="仿宋" w:hAnsi="仿宋" w:eastAsia="仿宋" w:cs="宋体"/>
                      <w:color w:val="000000" w:themeColor="text1"/>
                      <w:kern w:val="0"/>
                      <w:sz w:val="24"/>
                      <w:szCs w:val="24"/>
                      <w:lang w:val="en-US" w:eastAsia="zh-CN"/>
                      <w14:textFill>
                        <w14:solidFill>
                          <w14:schemeClr w14:val="tx1"/>
                        </w14:solidFill>
                      </w14:textFill>
                    </w:rPr>
                    <w:t>16</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实践性教改</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CDIO工程教育视域下线性代数课程混合式教学模式的实践研究</w:t>
                  </w:r>
                </w:p>
              </w:tc>
              <w:tc>
                <w:tcPr>
                  <w:tcW w:w="2661"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商晓阳、任北上、徐珂文、蒋春玲、付敏、何启茹</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基础教学院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themeColor="text1"/>
                      <w:kern w:val="0"/>
                      <w:sz w:val="24"/>
                      <w:szCs w:val="24"/>
                      <w:lang w:val="en-US" w:eastAsia="zh-CN" w:bidi="ar-SA"/>
                      <w14:textFill>
                        <w14:solidFill>
                          <w14:schemeClr w14:val="tx1"/>
                        </w14:solidFill>
                      </w14:textFill>
                    </w:rPr>
                  </w:pPr>
                  <w:r>
                    <w:rPr>
                      <w:rFonts w:hint="eastAsia" w:ascii="仿宋" w:hAnsi="仿宋" w:eastAsia="仿宋" w:cs="宋体"/>
                      <w:color w:val="000000" w:themeColor="text1"/>
                      <w:kern w:val="0"/>
                      <w:sz w:val="24"/>
                      <w:szCs w:val="24"/>
                      <w:lang w:val="en-US" w:eastAsia="zh-CN"/>
                      <w14:textFill>
                        <w14:solidFill>
                          <w14:schemeClr w14:val="tx1"/>
                        </w14:solidFill>
                      </w14:textFill>
                    </w:rPr>
                    <w:t>17</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实践性教改</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u w:val="none"/>
                      <w:lang w:val="en-US" w:eastAsia="zh-CN"/>
                    </w:rPr>
                    <w:t>软装设计课程思政“1+N”教学改革研究</w:t>
                  </w:r>
                </w:p>
              </w:tc>
              <w:tc>
                <w:tcPr>
                  <w:tcW w:w="2661"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刘加纯、雷雅琴、舒森、黎雨佳、夏磊华</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数字媒体与设计学院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themeColor="text1"/>
                      <w:kern w:val="0"/>
                      <w:sz w:val="24"/>
                      <w:szCs w:val="24"/>
                      <w:lang w:val="en-US" w:eastAsia="zh-CN" w:bidi="ar-SA"/>
                      <w14:textFill>
                        <w14:solidFill>
                          <w14:schemeClr w14:val="tx1"/>
                        </w14:solidFill>
                      </w14:textFill>
                    </w:rPr>
                  </w:pPr>
                  <w:r>
                    <w:rPr>
                      <w:rFonts w:hint="eastAsia" w:ascii="仿宋" w:hAnsi="仿宋" w:eastAsia="仿宋" w:cs="宋体"/>
                      <w:color w:val="000000" w:themeColor="text1"/>
                      <w:kern w:val="0"/>
                      <w:sz w:val="24"/>
                      <w:szCs w:val="24"/>
                      <w:lang w:val="en-US" w:eastAsia="zh-CN"/>
                      <w14:textFill>
                        <w14:solidFill>
                          <w14:schemeClr w14:val="tx1"/>
                        </w14:solidFill>
                      </w14:textFill>
                    </w:rPr>
                    <w:t>18</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实践性教改</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TOPCARES理念下的《系统分析与设计》课程思政教学改革</w:t>
                  </w:r>
                </w:p>
              </w:tc>
              <w:tc>
                <w:tcPr>
                  <w:tcW w:w="2661"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姚庚梅、李晶、魏菊霞、李小峰、谢云、张彤宇、张薇</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计算机学院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themeColor="text1"/>
                      <w:kern w:val="0"/>
                      <w:sz w:val="24"/>
                      <w:szCs w:val="24"/>
                      <w:lang w:val="en-US" w:eastAsia="zh-CN" w:bidi="ar-SA"/>
                      <w14:textFill>
                        <w14:solidFill>
                          <w14:schemeClr w14:val="tx1"/>
                        </w14:solidFill>
                      </w14:textFill>
                    </w:rPr>
                  </w:pPr>
                  <w:r>
                    <w:rPr>
                      <w:rFonts w:hint="eastAsia" w:ascii="仿宋" w:hAnsi="仿宋" w:eastAsia="仿宋" w:cs="宋体"/>
                      <w:color w:val="000000" w:themeColor="text1"/>
                      <w:kern w:val="0"/>
                      <w:sz w:val="24"/>
                      <w:szCs w:val="24"/>
                      <w:lang w:val="en-US" w:eastAsia="zh-CN"/>
                      <w14:textFill>
                        <w14:solidFill>
                          <w14:schemeClr w14:val="tx1"/>
                        </w14:solidFill>
                      </w14:textFill>
                    </w:rPr>
                    <w:t>19</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实践性教改</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课程思政在数字媒体技术专业教学中的探索与实践</w:t>
                  </w:r>
                </w:p>
              </w:tc>
              <w:tc>
                <w:tcPr>
                  <w:tcW w:w="2661"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谢峰、潘永明、李梁奇、司徒凤仙、唐瑛、李晓婷</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数字媒体与设计学院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themeColor="text1"/>
                      <w:kern w:val="0"/>
                      <w:sz w:val="24"/>
                      <w:szCs w:val="24"/>
                      <w:lang w:val="en-US" w:eastAsia="zh-CN" w:bidi="ar-SA"/>
                      <w14:textFill>
                        <w14:solidFill>
                          <w14:schemeClr w14:val="tx1"/>
                        </w14:solidFill>
                      </w14:textFill>
                    </w:rPr>
                  </w:pPr>
                  <w:r>
                    <w:rPr>
                      <w:rFonts w:hint="eastAsia" w:ascii="仿宋" w:hAnsi="仿宋" w:eastAsia="仿宋" w:cs="宋体"/>
                      <w:color w:val="000000" w:themeColor="text1"/>
                      <w:kern w:val="0"/>
                      <w:sz w:val="24"/>
                      <w:szCs w:val="24"/>
                      <w:lang w:val="en-US" w:eastAsia="zh-CN"/>
                      <w14:textFill>
                        <w14:solidFill>
                          <w14:schemeClr w14:val="tx1"/>
                        </w14:solidFill>
                      </w14:textFill>
                    </w:rPr>
                    <w:t>20</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实践性教改</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习近平青年观引领高校学生思想政治教育价值研究</w:t>
                  </w:r>
                </w:p>
              </w:tc>
              <w:tc>
                <w:tcPr>
                  <w:tcW w:w="2661"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陈晓奕、郑丽佳、鲍欣宇、李艳迪、万婷伟、郭小婷</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马克思学院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themeColor="text1"/>
                      <w:kern w:val="0"/>
                      <w:sz w:val="24"/>
                      <w:szCs w:val="24"/>
                      <w:lang w:val="en-US" w:eastAsia="zh-CN" w:bidi="ar-SA"/>
                      <w14:textFill>
                        <w14:solidFill>
                          <w14:schemeClr w14:val="tx1"/>
                        </w14:solidFill>
                      </w14:textFill>
                    </w:rPr>
                  </w:pPr>
                  <w:r>
                    <w:rPr>
                      <w:rFonts w:hint="eastAsia" w:ascii="仿宋" w:hAnsi="仿宋" w:eastAsia="仿宋" w:cs="宋体"/>
                      <w:color w:val="000000" w:themeColor="text1"/>
                      <w:kern w:val="0"/>
                      <w:sz w:val="24"/>
                      <w:szCs w:val="24"/>
                      <w:lang w:val="en-US" w:eastAsia="zh-CN"/>
                      <w14:textFill>
                        <w14:solidFill>
                          <w14:schemeClr w14:val="tx1"/>
                        </w14:solidFill>
                      </w14:textFill>
                    </w:rPr>
                    <w:t>21</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实践性教改</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艺术学类课程思政有效评价建构</w:t>
                  </w:r>
                </w:p>
              </w:tc>
              <w:tc>
                <w:tcPr>
                  <w:tcW w:w="2661"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纪馨予、熊丹、高立海、王乾、尹心艺</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数字媒体与设计学院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themeColor="text1"/>
                      <w:kern w:val="0"/>
                      <w:sz w:val="24"/>
                      <w:szCs w:val="24"/>
                      <w:lang w:val="en-US" w:eastAsia="zh-CN" w:bidi="ar-SA"/>
                      <w14:textFill>
                        <w14:solidFill>
                          <w14:schemeClr w14:val="tx1"/>
                        </w14:solidFill>
                      </w14:textFill>
                    </w:rPr>
                  </w:pPr>
                  <w:r>
                    <w:rPr>
                      <w:rFonts w:hint="eastAsia" w:ascii="仿宋" w:hAnsi="仿宋" w:eastAsia="仿宋" w:cs="宋体"/>
                      <w:color w:val="000000" w:themeColor="text1"/>
                      <w:kern w:val="0"/>
                      <w:sz w:val="24"/>
                      <w:szCs w:val="24"/>
                      <w:lang w:val="en-US" w:eastAsia="zh-CN"/>
                      <w14:textFill>
                        <w14:solidFill>
                          <w14:schemeClr w14:val="tx1"/>
                        </w14:solidFill>
                      </w14:textFill>
                    </w:rPr>
                    <w:t>22</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实践性教改</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新发展格局下《金融学》课程思政教学的探索与实践</w:t>
                  </w:r>
                </w:p>
              </w:tc>
              <w:tc>
                <w:tcPr>
                  <w:tcW w:w="2661"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陈秋霖、王晓枫、曲晓东</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商务管理学院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themeColor="text1"/>
                      <w:kern w:val="0"/>
                      <w:sz w:val="24"/>
                      <w:szCs w:val="24"/>
                      <w:lang w:val="en-US" w:eastAsia="zh-CN" w:bidi="ar-SA"/>
                      <w14:textFill>
                        <w14:solidFill>
                          <w14:schemeClr w14:val="tx1"/>
                        </w14:solidFill>
                      </w14:textFill>
                    </w:rPr>
                  </w:pPr>
                  <w:r>
                    <w:rPr>
                      <w:rFonts w:hint="eastAsia" w:ascii="仿宋" w:hAnsi="仿宋" w:eastAsia="仿宋" w:cs="宋体"/>
                      <w:color w:val="000000" w:themeColor="text1"/>
                      <w:kern w:val="0"/>
                      <w:sz w:val="24"/>
                      <w:szCs w:val="24"/>
                      <w:lang w:val="en-US" w:eastAsia="zh-CN"/>
                      <w14:textFill>
                        <w14:solidFill>
                          <w14:schemeClr w14:val="tx1"/>
                        </w14:solidFill>
                      </w14:textFill>
                    </w:rPr>
                    <w:t>23</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实践性教改</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物流管理专业课程思政建设评价机制研究</w:t>
                  </w:r>
                </w:p>
              </w:tc>
              <w:tc>
                <w:tcPr>
                  <w:tcW w:w="2661"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王荣花、张晓芹、黄明群、朱志祥、赖虹秀、黄永娟、赵凤</w:t>
                  </w:r>
                </w:p>
              </w:tc>
              <w:tc>
                <w:tcPr>
                  <w:tcW w:w="133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宋体"/>
                      <w:color w:val="000000"/>
                      <w:kern w:val="0"/>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信息管理与工程学院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themeColor="text1"/>
                      <w:kern w:val="0"/>
                      <w:sz w:val="24"/>
                      <w:szCs w:val="24"/>
                      <w:lang w:val="en-US" w:eastAsia="zh-CN" w:bidi="ar-SA"/>
                      <w14:textFill>
                        <w14:solidFill>
                          <w14:schemeClr w14:val="tx1"/>
                        </w14:solidFill>
                      </w14:textFill>
                    </w:rPr>
                  </w:pPr>
                  <w:r>
                    <w:rPr>
                      <w:rFonts w:hint="eastAsia" w:ascii="仿宋" w:hAnsi="仿宋" w:eastAsia="仿宋" w:cs="宋体"/>
                      <w:color w:val="000000" w:themeColor="text1"/>
                      <w:kern w:val="0"/>
                      <w:sz w:val="24"/>
                      <w:szCs w:val="24"/>
                      <w:lang w:val="en-US" w:eastAsia="zh-CN"/>
                      <w14:textFill>
                        <w14:solidFill>
                          <w14:schemeClr w14:val="tx1"/>
                        </w14:solidFill>
                      </w14:textFill>
                    </w:rPr>
                    <w:t>24</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委托类教改</w:t>
                  </w:r>
                </w:p>
              </w:tc>
              <w:tc>
                <w:tcPr>
                  <w:tcW w:w="2874"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应用型财经类产业学院建设标准和建设路径研究</w:t>
                  </w:r>
                </w:p>
              </w:tc>
              <w:tc>
                <w:tcPr>
                  <w:tcW w:w="2661" w:type="dxa"/>
                  <w:vAlign w:val="center"/>
                </w:tcPr>
                <w:p>
                  <w:pPr>
                    <w:keepNext w:val="0"/>
                    <w:keepLines w:val="0"/>
                    <w:suppressLineNumbers w:val="0"/>
                    <w:spacing w:before="0" w:beforeAutospacing="0" w:after="0" w:afterAutospacing="0"/>
                    <w:ind w:left="0" w:leftChars="0" w:right="0" w:rightChars="0"/>
                    <w:jc w:val="center"/>
                    <w:rPr>
                      <w:rFonts w:hint="default"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蔡昭映、李文龙、关成斌、于景存、郭伟明、肖雪芬、张晓芹、张永棠、李曼、吴双双、刘颖、张雯琰</w:t>
                  </w:r>
                </w:p>
              </w:tc>
              <w:tc>
                <w:tcPr>
                  <w:tcW w:w="133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商务管理学院</w:t>
                  </w:r>
                </w:p>
              </w:tc>
              <w:tc>
                <w:tcPr>
                  <w:tcW w:w="1227" w:type="dxa"/>
                  <w:vAlign w:val="center"/>
                </w:tcPr>
                <w:p>
                  <w:pPr>
                    <w:keepNext w:val="0"/>
                    <w:keepLines w:val="0"/>
                    <w:suppressLineNumbers w:val="0"/>
                    <w:spacing w:before="0" w:beforeAutospacing="0" w:after="0" w:afterAutospacing="0"/>
                    <w:ind w:left="0" w:right="0"/>
                    <w:jc w:val="center"/>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推荐申报省级委托类教改项目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themeColor="text1"/>
                      <w:kern w:val="0"/>
                      <w:sz w:val="24"/>
                      <w:szCs w:val="24"/>
                      <w:lang w:val="en-US" w:eastAsia="zh-CN" w:bidi="ar-SA"/>
                      <w14:textFill>
                        <w14:solidFill>
                          <w14:schemeClr w14:val="tx1"/>
                        </w14:solidFill>
                      </w14:textFill>
                    </w:rPr>
                  </w:pPr>
                  <w:r>
                    <w:rPr>
                      <w:rFonts w:hint="eastAsia" w:ascii="仿宋" w:hAnsi="仿宋" w:eastAsia="仿宋" w:cs="宋体"/>
                      <w:color w:val="000000" w:themeColor="text1"/>
                      <w:kern w:val="0"/>
                      <w:sz w:val="24"/>
                      <w:szCs w:val="24"/>
                      <w:lang w:val="en-US" w:eastAsia="zh-CN"/>
                      <w14:textFill>
                        <w14:solidFill>
                          <w14:schemeClr w14:val="tx1"/>
                        </w14:solidFill>
                      </w14:textFill>
                    </w:rPr>
                    <w:t>/</w:t>
                  </w:r>
                </w:p>
              </w:tc>
              <w:tc>
                <w:tcPr>
                  <w:tcW w:w="1426"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课程</w:t>
                  </w:r>
                  <w:r>
                    <w:rPr>
                      <w:rFonts w:hint="eastAsia" w:ascii="仿宋" w:hAnsi="仿宋" w:eastAsia="仿宋" w:cs="宋体"/>
                      <w:color w:val="000000"/>
                      <w:kern w:val="0"/>
                      <w:sz w:val="24"/>
                      <w:szCs w:val="24"/>
                      <w:lang w:val="en-US" w:eastAsia="zh-CN"/>
                    </w:rPr>
                    <w:t>教研室</w:t>
                  </w:r>
                </w:p>
              </w:tc>
              <w:tc>
                <w:tcPr>
                  <w:tcW w:w="2874"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bidi="ar-SA"/>
                    </w:rPr>
                    <w:t>《客户关系管理》虚拟教研室</w:t>
                  </w:r>
                </w:p>
              </w:tc>
              <w:tc>
                <w:tcPr>
                  <w:tcW w:w="2661"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李文龙、包文夏、孙奎环、孔晶晶、王艳萍、丁宁、李曼、陈建松、李国庆、韩飞</w:t>
                  </w:r>
                </w:p>
              </w:tc>
              <w:tc>
                <w:tcPr>
                  <w:tcW w:w="1335"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szCs w:val="24"/>
                      <w:lang w:val="en-US" w:eastAsia="zh-CN" w:bidi="ar-SA"/>
                    </w:rPr>
                    <w:t>商务管理学院</w:t>
                  </w:r>
                </w:p>
              </w:tc>
              <w:tc>
                <w:tcPr>
                  <w:tcW w:w="1227" w:type="dxa"/>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已立项校级，推荐申报省级</w:t>
                  </w:r>
                </w:p>
              </w:tc>
            </w:tr>
          </w:tbl>
          <w:p>
            <w:pPr>
              <w:keepNext w:val="0"/>
              <w:keepLines w:val="0"/>
              <w:widowControl/>
              <w:suppressLineNumbers w:val="0"/>
              <w:shd w:val="clear" w:fill="FFFFFF"/>
              <w:spacing w:before="0" w:beforeAutospacing="0" w:after="0" w:afterAutospacing="0" w:line="240" w:lineRule="auto"/>
              <w:ind w:left="0" w:right="0" w:firstLine="0"/>
              <w:jc w:val="both"/>
              <w:rPr>
                <w:rFonts w:hint="default" w:ascii="Calibri" w:hAnsi="Calibri" w:cs="Calibri"/>
                <w:b w:val="0"/>
                <w:bCs w:val="0"/>
                <w:i w:val="0"/>
                <w:iCs w:val="0"/>
                <w:caps w:val="0"/>
                <w:color w:val="000000"/>
                <w:spacing w:val="0"/>
                <w:sz w:val="21"/>
                <w:szCs w:val="21"/>
              </w:rPr>
            </w:pPr>
          </w:p>
          <w:p>
            <w:pPr>
              <w:keepNext w:val="0"/>
              <w:keepLines w:val="0"/>
              <w:widowControl/>
              <w:suppressLineNumbers w:val="0"/>
              <w:shd w:val="clear" w:fill="FFFFFF"/>
              <w:spacing w:before="0" w:beforeAutospacing="0" w:after="0" w:afterAutospacing="0" w:line="240" w:lineRule="auto"/>
              <w:ind w:left="0" w:right="0" w:firstLine="0"/>
              <w:jc w:val="both"/>
              <w:rPr>
                <w:rFonts w:hint="default" w:ascii="Calibri" w:hAnsi="Calibri" w:cs="Calibri"/>
                <w:b w:val="0"/>
                <w:bCs w:val="0"/>
                <w:i w:val="0"/>
                <w:iCs w:val="0"/>
                <w:caps w:val="0"/>
                <w:color w:val="000000"/>
                <w:spacing w:val="0"/>
                <w:sz w:val="21"/>
                <w:szCs w:val="21"/>
              </w:rPr>
            </w:pPr>
          </w:p>
          <w:p>
            <w:pPr>
              <w:keepNext w:val="0"/>
              <w:keepLines w:val="0"/>
              <w:widowControl/>
              <w:suppressLineNumbers w:val="0"/>
              <w:shd w:val="clear" w:fill="FFFFFF"/>
              <w:wordWrap w:val="0"/>
              <w:spacing w:before="0" w:beforeAutospacing="0" w:after="0" w:afterAutospacing="0" w:line="240" w:lineRule="auto"/>
              <w:ind w:left="0" w:right="0" w:firstLine="0"/>
              <w:jc w:val="right"/>
              <w:rPr>
                <w:rFonts w:hint="default" w:ascii="Calibri" w:hAnsi="Calibri" w:cs="Calibri"/>
                <w:b w:val="0"/>
                <w:bCs w:val="0"/>
                <w:i w:val="0"/>
                <w:iCs w:val="0"/>
                <w:caps w:val="0"/>
                <w:color w:val="000000"/>
                <w:spacing w:val="0"/>
                <w:sz w:val="21"/>
                <w:szCs w:val="21"/>
              </w:rPr>
            </w:pPr>
            <w:r>
              <w:rPr>
                <w:rFonts w:hint="eastAsia" w:ascii="宋体" w:hAnsi="宋体" w:eastAsia="宋体" w:cs="宋体"/>
                <w:b/>
                <w:bCs/>
                <w:i w:val="0"/>
                <w:iCs w:val="0"/>
                <w:caps w:val="0"/>
                <w:color w:val="000000"/>
                <w:spacing w:val="0"/>
                <w:kern w:val="0"/>
                <w:sz w:val="24"/>
                <w:szCs w:val="24"/>
                <w:shd w:val="clear" w:fill="FFFFFF"/>
                <w:lang w:val="en-US" w:eastAsia="zh-CN" w:bidi="ar"/>
              </w:rPr>
              <w:t>教务部</w:t>
            </w:r>
          </w:p>
          <w:p>
            <w:pPr>
              <w:keepNext w:val="0"/>
              <w:keepLines w:val="0"/>
              <w:widowControl/>
              <w:suppressLineNumbers w:val="0"/>
              <w:shd w:val="clear" w:fill="FFFFFF"/>
              <w:spacing w:before="0" w:beforeAutospacing="0" w:after="0" w:afterAutospacing="0" w:line="240" w:lineRule="auto"/>
              <w:ind w:left="0" w:right="0" w:firstLine="480"/>
              <w:jc w:val="right"/>
              <w:rPr>
                <w:rFonts w:hint="default" w:ascii="Calibri" w:hAnsi="Calibri" w:cs="Calibri"/>
                <w:b w:val="0"/>
                <w:bCs w:val="0"/>
                <w:i w:val="0"/>
                <w:iCs w:val="0"/>
                <w:caps w:val="0"/>
                <w:color w:val="000000"/>
                <w:spacing w:val="0"/>
                <w:sz w:val="21"/>
                <w:szCs w:val="21"/>
              </w:rPr>
            </w:pPr>
            <w:r>
              <w:rPr>
                <w:rFonts w:hint="eastAsia" w:ascii="宋体" w:hAnsi="宋体" w:eastAsia="宋体" w:cs="宋体"/>
                <w:b/>
                <w:bCs/>
                <w:i w:val="0"/>
                <w:iCs w:val="0"/>
                <w:caps w:val="0"/>
                <w:color w:val="000000"/>
                <w:spacing w:val="0"/>
                <w:kern w:val="0"/>
                <w:sz w:val="24"/>
                <w:szCs w:val="24"/>
                <w:shd w:val="clear" w:fill="FFFFFF"/>
                <w:lang w:val="en-US" w:eastAsia="zh-CN" w:bidi="ar"/>
              </w:rPr>
              <w:t>2022年11月4日</w:t>
            </w:r>
          </w:p>
          <w:p>
            <w:pPr>
              <w:keepNext w:val="0"/>
              <w:keepLines w:val="0"/>
              <w:widowControl/>
              <w:suppressLineNumbers w:val="0"/>
              <w:spacing w:before="0" w:beforeAutospacing="0" w:after="0" w:afterAutospacing="0"/>
              <w:ind w:left="0" w:right="1084" w:firstLine="480"/>
              <w:jc w:val="right"/>
              <w:rPr>
                <w:rFonts w:hint="eastAsia" w:ascii="宋体" w:hAnsi="宋体" w:eastAsia="宋体" w:cs="宋体"/>
                <w:b/>
                <w:bCs/>
                <w:sz w:val="24"/>
                <w:szCs w:val="24"/>
                <w:lang w:val="en-US"/>
              </w:rPr>
            </w:pPr>
          </w:p>
        </w:tc>
      </w:tr>
    </w:tbl>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4YWVmY2ZkOWMyODEzNTE4MzUyMmI4NGFlYTdlZDYifQ=="/>
  </w:docVars>
  <w:rsids>
    <w:rsidRoot w:val="00000000"/>
    <w:rsid w:val="04977367"/>
    <w:rsid w:val="05A9441C"/>
    <w:rsid w:val="0ADB2E20"/>
    <w:rsid w:val="15867C9B"/>
    <w:rsid w:val="181B7E8C"/>
    <w:rsid w:val="182172AE"/>
    <w:rsid w:val="1C693596"/>
    <w:rsid w:val="21007CC4"/>
    <w:rsid w:val="212422D1"/>
    <w:rsid w:val="261A687E"/>
    <w:rsid w:val="2B5D5D70"/>
    <w:rsid w:val="30D225C0"/>
    <w:rsid w:val="371261F4"/>
    <w:rsid w:val="3D8B400C"/>
    <w:rsid w:val="41551B6A"/>
    <w:rsid w:val="42B20202"/>
    <w:rsid w:val="439B4CAD"/>
    <w:rsid w:val="484612E7"/>
    <w:rsid w:val="542D0806"/>
    <w:rsid w:val="54A9504D"/>
    <w:rsid w:val="57102CB0"/>
    <w:rsid w:val="58AE133F"/>
    <w:rsid w:val="5D924A61"/>
    <w:rsid w:val="67D052A4"/>
    <w:rsid w:val="70E27D42"/>
    <w:rsid w:val="728E7F76"/>
    <w:rsid w:val="73953012"/>
    <w:rsid w:val="7450267F"/>
    <w:rsid w:val="77EE6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2021-07-06T02:09:00Z</dcterms:created>
  <dc:creator>吴鸿滨</dc:creator>
  <cp:lastModifiedBy>admin</cp:lastModifiedBy>
  <dcterms:modified xsi:type="dcterms:W3CDTF">2022-11-04T07:29:41Z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13FC297206C1422BBD883109D48118F6</vt:lpwstr>
  </property>
</Properties>
</file>