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-897255</wp:posOffset>
                </wp:positionV>
                <wp:extent cx="6607810" cy="2176145"/>
                <wp:effectExtent l="4445" t="4445" r="17145" b="10160"/>
                <wp:wrapNone/>
                <wp:docPr id="3" name="文本框 3"/>
                <wp:cNvGraphicFramePr/>
                <a:graphic xmlns:a="http://schemas.openxmlformats.org/drawingml/2006/main">
                  <a:graphicData uri="http://schemas.microsoft.com/office/word/2010/wordprocessingShape">
                    <wps:wsp>
                      <wps:cNvSpPr txBox="1"/>
                      <wps:spPr>
                        <a:xfrm>
                          <a:off x="1403985" y="7250430"/>
                          <a:ext cx="6607810" cy="2176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宋体" w:hAnsi="宋体" w:eastAsia="宋体" w:cs="宋体"/>
                                <w:b w:val="0"/>
                                <w:bCs w:val="0"/>
                                <w:sz w:val="24"/>
                                <w:szCs w:val="28"/>
                                <w:highlight w:val="green"/>
                                <w:lang w:val="en-US" w:eastAsia="zh-CN"/>
                              </w:rPr>
                            </w:pPr>
                            <w:r>
                              <w:rPr>
                                <w:rFonts w:hint="eastAsia" w:ascii="宋体" w:hAnsi="宋体" w:eastAsia="宋体" w:cs="宋体"/>
                                <w:b/>
                                <w:bCs/>
                                <w:sz w:val="24"/>
                                <w:szCs w:val="28"/>
                                <w:highlight w:val="green"/>
                                <w:lang w:val="en-US" w:eastAsia="zh-CN"/>
                              </w:rPr>
                              <w:t>模板说明：</w:t>
                            </w:r>
                            <w:r>
                              <w:rPr>
                                <w:rFonts w:hint="eastAsia" w:ascii="宋体" w:hAnsi="宋体" w:eastAsia="宋体" w:cs="宋体"/>
                                <w:b w:val="0"/>
                                <w:bCs w:val="0"/>
                                <w:sz w:val="24"/>
                                <w:szCs w:val="28"/>
                                <w:highlight w:val="green"/>
                                <w:lang w:val="en-US" w:eastAsia="zh-CN"/>
                              </w:rPr>
                              <w:t>与2023版模板相比，2024版修改了以下内容：①“二、课程基本信息”中“8.学时安排”的表格；②“三</w:t>
                            </w:r>
                            <w:r>
                              <w:rPr>
                                <w:rFonts w:hint="default" w:ascii="宋体" w:hAnsi="宋体" w:eastAsia="宋体" w:cs="宋体"/>
                                <w:b w:val="0"/>
                                <w:bCs w:val="0"/>
                                <w:sz w:val="24"/>
                                <w:szCs w:val="28"/>
                                <w:highlight w:val="green"/>
                                <w:lang w:val="en-US" w:eastAsia="zh-CN"/>
                              </w:rPr>
                              <w:t>、课程</w:t>
                            </w:r>
                            <w:r>
                              <w:rPr>
                                <w:rFonts w:hint="eastAsia" w:ascii="宋体" w:hAnsi="宋体" w:eastAsia="宋体" w:cs="宋体"/>
                                <w:b w:val="0"/>
                                <w:bCs w:val="0"/>
                                <w:sz w:val="24"/>
                                <w:szCs w:val="28"/>
                                <w:highlight w:val="green"/>
                                <w:lang w:val="en-US" w:eastAsia="zh-CN"/>
                              </w:rPr>
                              <w:t>预期学习效果”中“2.预期学习效果”的表格；③“五、各单元学时分配表”表格；④“六、实践教学项目”表格；⑤“七、课程考核与评价”中“2.形成性考核与评价”表格、“3.终结性考核与评价”表格；</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宋体" w:hAnsi="宋体" w:eastAsia="宋体" w:cs="宋体"/>
                                <w:b w:val="0"/>
                                <w:bCs w:val="0"/>
                                <w:sz w:val="28"/>
                                <w:szCs w:val="32"/>
                                <w:highlight w:val="yellow"/>
                                <w:lang w:val="en-US" w:eastAsia="zh-CN"/>
                              </w:rPr>
                            </w:pPr>
                            <w:r>
                              <w:rPr>
                                <w:rFonts w:hint="eastAsia" w:ascii="宋体" w:hAnsi="宋体" w:eastAsia="宋体" w:cs="宋体"/>
                                <w:b w:val="0"/>
                                <w:bCs w:val="0"/>
                                <w:sz w:val="24"/>
                                <w:szCs w:val="28"/>
                                <w:highlight w:val="yellow"/>
                                <w:lang w:val="en-US" w:eastAsia="zh-CN"/>
                              </w:rPr>
                              <w:t>新增了以下内容：①“三</w:t>
                            </w:r>
                            <w:r>
                              <w:rPr>
                                <w:rFonts w:hint="default" w:ascii="宋体" w:hAnsi="宋体" w:eastAsia="宋体" w:cs="宋体"/>
                                <w:b w:val="0"/>
                                <w:bCs w:val="0"/>
                                <w:sz w:val="24"/>
                                <w:szCs w:val="28"/>
                                <w:highlight w:val="yellow"/>
                                <w:lang w:val="en-US" w:eastAsia="zh-CN"/>
                              </w:rPr>
                              <w:t>、课程</w:t>
                            </w:r>
                            <w:r>
                              <w:rPr>
                                <w:rFonts w:hint="eastAsia" w:ascii="宋体" w:hAnsi="宋体" w:eastAsia="宋体" w:cs="宋体"/>
                                <w:b w:val="0"/>
                                <w:bCs w:val="0"/>
                                <w:sz w:val="24"/>
                                <w:szCs w:val="28"/>
                                <w:highlight w:val="yellow"/>
                                <w:lang w:val="en-US" w:eastAsia="zh-CN"/>
                              </w:rPr>
                              <w:t>预期学习效果”中“3.KT点设计”表格、“4.KT点与预期学习效果映射”表格；②“四、教学内容与要求”中表格；③“十、学习策略与技巧”中表格。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70.65pt;height:171.35pt;width:520.3pt;z-index:251659264;mso-width-relative:page;mso-height-relative:page;" fillcolor="#FFFFFF [3201]" filled="t" stroked="t" coordsize="21600,21600" o:gfxdata="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ZoMEfXAAAADQEAAA8AAAAAAAAAAQAgAAAAIgAAAGRycy9kb3ducmV2LnhtbFBLAQIUABQA&#10;AAAIAIdO4kBhc1vhYwIAAMQEAAAOAAAAAAAAAAEAIAAAACY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宋体" w:hAnsi="宋体" w:eastAsia="宋体" w:cs="宋体"/>
                          <w:b w:val="0"/>
                          <w:bCs w:val="0"/>
                          <w:sz w:val="24"/>
                          <w:szCs w:val="28"/>
                          <w:highlight w:val="green"/>
                          <w:lang w:val="en-US" w:eastAsia="zh-CN"/>
                        </w:rPr>
                      </w:pPr>
                      <w:r>
                        <w:rPr>
                          <w:rFonts w:hint="eastAsia" w:ascii="宋体" w:hAnsi="宋体" w:eastAsia="宋体" w:cs="宋体"/>
                          <w:b/>
                          <w:bCs/>
                          <w:sz w:val="24"/>
                          <w:szCs w:val="28"/>
                          <w:highlight w:val="green"/>
                          <w:lang w:val="en-US" w:eastAsia="zh-CN"/>
                        </w:rPr>
                        <w:t>模板说明：</w:t>
                      </w:r>
                      <w:r>
                        <w:rPr>
                          <w:rFonts w:hint="eastAsia" w:ascii="宋体" w:hAnsi="宋体" w:eastAsia="宋体" w:cs="宋体"/>
                          <w:b w:val="0"/>
                          <w:bCs w:val="0"/>
                          <w:sz w:val="24"/>
                          <w:szCs w:val="28"/>
                          <w:highlight w:val="green"/>
                          <w:lang w:val="en-US" w:eastAsia="zh-CN"/>
                        </w:rPr>
                        <w:t>与2023版模板相比，2024版修改了以下内容：①“二、课程基本信息”中“8.学时安排”的表格；②“三</w:t>
                      </w:r>
                      <w:r>
                        <w:rPr>
                          <w:rFonts w:hint="default" w:ascii="宋体" w:hAnsi="宋体" w:eastAsia="宋体" w:cs="宋体"/>
                          <w:b w:val="0"/>
                          <w:bCs w:val="0"/>
                          <w:sz w:val="24"/>
                          <w:szCs w:val="28"/>
                          <w:highlight w:val="green"/>
                          <w:lang w:val="en-US" w:eastAsia="zh-CN"/>
                        </w:rPr>
                        <w:t>、课程</w:t>
                      </w:r>
                      <w:r>
                        <w:rPr>
                          <w:rFonts w:hint="eastAsia" w:ascii="宋体" w:hAnsi="宋体" w:eastAsia="宋体" w:cs="宋体"/>
                          <w:b w:val="0"/>
                          <w:bCs w:val="0"/>
                          <w:sz w:val="24"/>
                          <w:szCs w:val="28"/>
                          <w:highlight w:val="green"/>
                          <w:lang w:val="en-US" w:eastAsia="zh-CN"/>
                        </w:rPr>
                        <w:t>预期学习效果”中“2.预期学习效果”的表格；③“五、各单元学时分配表”表格；④“六、实践教学项目”表格；⑤“七、课程考核与评价”中“2.形成性考核与评价”表格、“3.终结性考核与评价”表格；</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宋体" w:hAnsi="宋体" w:eastAsia="宋体" w:cs="宋体"/>
                          <w:b w:val="0"/>
                          <w:bCs w:val="0"/>
                          <w:sz w:val="28"/>
                          <w:szCs w:val="32"/>
                          <w:highlight w:val="yellow"/>
                          <w:lang w:val="en-US" w:eastAsia="zh-CN"/>
                        </w:rPr>
                      </w:pPr>
                      <w:r>
                        <w:rPr>
                          <w:rFonts w:hint="eastAsia" w:ascii="宋体" w:hAnsi="宋体" w:eastAsia="宋体" w:cs="宋体"/>
                          <w:b w:val="0"/>
                          <w:bCs w:val="0"/>
                          <w:sz w:val="24"/>
                          <w:szCs w:val="28"/>
                          <w:highlight w:val="yellow"/>
                          <w:lang w:val="en-US" w:eastAsia="zh-CN"/>
                        </w:rPr>
                        <w:t>新增了以下内容：①“三</w:t>
                      </w:r>
                      <w:r>
                        <w:rPr>
                          <w:rFonts w:hint="default" w:ascii="宋体" w:hAnsi="宋体" w:eastAsia="宋体" w:cs="宋体"/>
                          <w:b w:val="0"/>
                          <w:bCs w:val="0"/>
                          <w:sz w:val="24"/>
                          <w:szCs w:val="28"/>
                          <w:highlight w:val="yellow"/>
                          <w:lang w:val="en-US" w:eastAsia="zh-CN"/>
                        </w:rPr>
                        <w:t>、课程</w:t>
                      </w:r>
                      <w:r>
                        <w:rPr>
                          <w:rFonts w:hint="eastAsia" w:ascii="宋体" w:hAnsi="宋体" w:eastAsia="宋体" w:cs="宋体"/>
                          <w:b w:val="0"/>
                          <w:bCs w:val="0"/>
                          <w:sz w:val="24"/>
                          <w:szCs w:val="28"/>
                          <w:highlight w:val="yellow"/>
                          <w:lang w:val="en-US" w:eastAsia="zh-CN"/>
                        </w:rPr>
                        <w:t>预期学习效果”中“3.KT点设计”表格、“4.KT点与预期学习效果映射”表格；②“四、教学内容与要求”中表格；③“十、学习策略与技巧”中表格。</w:t>
                      </w:r>
                    </w:p>
                  </w:txbxContent>
                </v:textbox>
              </v:shape>
            </w:pict>
          </mc:Fallback>
        </mc:AlternateContent>
      </w: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r>
        <w:rPr>
          <w:rFonts w:hint="eastAsia" w:ascii="宋体" w:hAnsi="宋体" w:eastAsia="宋体" w:cs="宋体"/>
          <w:b/>
          <w:bCs/>
          <w:sz w:val="48"/>
          <w:szCs w:val="52"/>
          <w:lang w:val="en-US" w:eastAsia="zh-CN"/>
        </w:rPr>
        <w:t>广东东软学院</w:t>
      </w: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default" w:ascii="Times New Roman" w:hAnsi="Times New Roman" w:eastAsia="宋体" w:cs="Times New Roman"/>
          <w:b w:val="0"/>
          <w:bCs w:val="0"/>
          <w:sz w:val="56"/>
          <w:szCs w:val="56"/>
          <w:lang w:val="en-US" w:eastAsia="zh-CN"/>
        </w:rPr>
      </w:pPr>
      <w:r>
        <w:rPr>
          <w:rFonts w:hint="default" w:ascii="Times New Roman" w:hAnsi="Times New Roman" w:eastAsia="宋体" w:cs="Times New Roman"/>
          <w:b w:val="0"/>
          <w:bCs w:val="0"/>
          <w:sz w:val="56"/>
          <w:szCs w:val="56"/>
          <w:lang w:val="en-US" w:eastAsia="zh-CN"/>
        </w:rPr>
        <w:t>《xxxxxx》课程标准</w:t>
      </w: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default" w:ascii="Times New Roman" w:hAnsi="Times New Roman" w:eastAsia="宋体" w:cs="Times New Roman"/>
          <w:sz w:val="40"/>
          <w:szCs w:val="52"/>
          <w:lang w:val="en-US" w:eastAsia="zh-CN"/>
        </w:rPr>
      </w:pPr>
      <w:r>
        <w:rPr>
          <w:rFonts w:hint="default" w:ascii="Times New Roman" w:hAnsi="Times New Roman" w:eastAsia="宋体" w:cs="Times New Roman"/>
          <w:sz w:val="40"/>
          <w:szCs w:val="52"/>
          <w:lang w:val="en-US" w:eastAsia="zh-CN"/>
        </w:rPr>
        <w:t>课程代码：xxxxxxx</w:t>
      </w:r>
    </w:p>
    <w:p>
      <w:pPr>
        <w:keepNext w:val="0"/>
        <w:keepLines w:val="0"/>
        <w:pageBreakBefore w:val="0"/>
        <w:kinsoku/>
        <w:wordWrap/>
        <w:overflowPunct/>
        <w:topLinePunct w:val="0"/>
        <w:autoSpaceDE/>
        <w:autoSpaceDN/>
        <w:bidi w:val="0"/>
        <w:adjustRightInd/>
        <w:spacing w:before="156" w:beforeLines="50" w:after="312" w:afterLines="100" w:line="560" w:lineRule="exact"/>
        <w:jc w:val="both"/>
        <w:textAlignment w:val="auto"/>
        <w:rPr>
          <w:rFonts w:hint="default"/>
          <w:sz w:val="40"/>
          <w:szCs w:val="52"/>
          <w:lang w:val="en-US" w:eastAsia="zh-CN"/>
        </w:rPr>
      </w:pPr>
    </w:p>
    <w:p>
      <w:pPr>
        <w:keepNext w:val="0"/>
        <w:keepLines w:val="0"/>
        <w:pageBreakBefore w:val="0"/>
        <w:kinsoku/>
        <w:wordWrap/>
        <w:overflowPunct/>
        <w:topLinePunct w:val="0"/>
        <w:autoSpaceDE/>
        <w:autoSpaceDN/>
        <w:bidi w:val="0"/>
        <w:adjustRightInd/>
        <w:spacing w:before="156" w:beforeLines="50" w:after="312" w:afterLines="100" w:line="560" w:lineRule="exact"/>
        <w:jc w:val="both"/>
        <w:textAlignment w:val="auto"/>
        <w:rPr>
          <w:rFonts w:hint="default"/>
          <w:sz w:val="40"/>
          <w:szCs w:val="5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层    次</w:t>
      </w:r>
      <w:r>
        <w:rPr>
          <w:rFonts w:hint="default" w:ascii="Times New Roman" w:hAnsi="Times New Roman" w:eastAsia="宋体" w:cs="Times New Roman"/>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适用专业</w:t>
      </w:r>
      <w:r>
        <w:rPr>
          <w:rFonts w:hint="default" w:ascii="Times New Roman" w:hAnsi="Times New Roman" w:eastAsia="宋体" w:cs="Times New Roman"/>
          <w:sz w:val="36"/>
          <w:szCs w:val="36"/>
          <w:lang w:val="en-US" w:eastAsia="zh-CN"/>
        </w:rPr>
        <w:t>：20XX</w:t>
      </w:r>
      <w:r>
        <w:rPr>
          <w:rFonts w:hint="default" w:ascii="Times New Roman" w:hAnsi="Times New Roman" w:eastAsia="宋体" w:cs="Times New Roman"/>
          <w:sz w:val="36"/>
          <w:szCs w:val="36"/>
        </w:rPr>
        <w:t>级XX专业</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学    分</w:t>
      </w:r>
      <w:r>
        <w:rPr>
          <w:rFonts w:hint="default" w:ascii="Times New Roman" w:hAnsi="Times New Roman" w:eastAsia="宋体" w:cs="Times New Roman"/>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执 笔 人</w:t>
      </w:r>
      <w:r>
        <w:rPr>
          <w:rFonts w:hint="default" w:ascii="Times New Roman" w:hAnsi="Times New Roman" w:eastAsia="宋体" w:cs="Times New Roman"/>
          <w:sz w:val="36"/>
          <w:szCs w:val="36"/>
          <w:lang w:val="en-US" w:eastAsia="zh-CN"/>
        </w:rPr>
        <w:t>：</w:t>
      </w:r>
      <w:r>
        <w:rPr>
          <w:rFonts w:hint="eastAsia" w:ascii="Times New Roman" w:hAnsi="Times New Roman" w:eastAsia="宋体" w:cs="Times New Roman"/>
          <w:b/>
          <w:bCs/>
          <w:color w:val="FF0000"/>
          <w:sz w:val="36"/>
          <w:szCs w:val="36"/>
          <w:lang w:val="en-US" w:eastAsia="zh-CN"/>
        </w:rPr>
        <w:t>此处手写签名</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b/>
          <w:bCs/>
          <w:sz w:val="36"/>
          <w:szCs w:val="36"/>
          <w:lang w:val="en-US" w:eastAsia="zh-CN"/>
        </w:rPr>
      </w:pPr>
      <w:r>
        <w:rPr>
          <w:rFonts w:hint="default" w:ascii="Times New Roman" w:hAnsi="Times New Roman" w:eastAsia="宋体" w:cs="Times New Roman"/>
          <w:b/>
          <w:bCs/>
          <w:sz w:val="36"/>
          <w:szCs w:val="36"/>
          <w:lang w:val="en-US" w:eastAsia="zh-CN"/>
        </w:rPr>
        <w:t>审 核 人：</w:t>
      </w:r>
      <w:r>
        <w:rPr>
          <w:rFonts w:hint="eastAsia" w:ascii="Times New Roman" w:hAnsi="Times New Roman" w:eastAsia="宋体" w:cs="Times New Roman"/>
          <w:b/>
          <w:bCs/>
          <w:color w:val="FF0000"/>
          <w:sz w:val="36"/>
          <w:szCs w:val="36"/>
          <w:lang w:val="en-US" w:eastAsia="zh-CN"/>
        </w:rPr>
        <w:t>此处手写签名</w:t>
      </w: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eastAsia" w:ascii="宋体" w:hAnsi="宋体" w:eastAsia="宋体" w:cs="宋体"/>
          <w:b/>
          <w:bCs/>
          <w:sz w:val="36"/>
          <w:szCs w:val="36"/>
          <w:lang w:val="en-US" w:eastAsia="zh-CN"/>
        </w:rPr>
      </w:pP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6"/>
          <w:szCs w:val="36"/>
        </w:rPr>
      </w:pPr>
      <w:r>
        <w:rPr>
          <w:rFonts w:hint="eastAsia" w:ascii="仿宋" w:hAnsi="仿宋" w:eastAsia="仿宋" w:cs="Times New Roman"/>
          <w:sz w:val="36"/>
          <w:szCs w:val="36"/>
        </w:rPr>
        <w:t>广东东软学院教务部制</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default" w:ascii="黑体" w:hAnsi="黑体" w:eastAsia="黑体"/>
          <w:sz w:val="36"/>
          <w:szCs w:val="36"/>
          <w:highlight w:val="none"/>
          <w:lang w:val="en-US" w:eastAsia="zh-CN"/>
        </w:rPr>
      </w:pPr>
      <w:r>
        <w:rPr>
          <w:rFonts w:hint="eastAsia" w:ascii="仿宋" w:hAnsi="仿宋" w:eastAsia="仿宋" w:cs="Times New Roman"/>
          <w:sz w:val="36"/>
          <w:szCs w:val="36"/>
          <w:highlight w:val="none"/>
        </w:rPr>
        <w:t>二〇</w:t>
      </w:r>
      <w:r>
        <w:rPr>
          <w:rFonts w:hint="eastAsia" w:ascii="仿宋" w:hAnsi="仿宋" w:eastAsia="仿宋" w:cs="Times New Roman"/>
          <w:sz w:val="36"/>
          <w:szCs w:val="36"/>
          <w:highlight w:val="none"/>
          <w:lang w:val="en-US" w:eastAsia="zh-CN"/>
        </w:rPr>
        <w:t>二四</w:t>
      </w:r>
      <w:r>
        <w:rPr>
          <w:rFonts w:hint="eastAsia" w:ascii="仿宋" w:hAnsi="仿宋" w:eastAsia="仿宋" w:cs="Times New Roman"/>
          <w:sz w:val="36"/>
          <w:szCs w:val="36"/>
          <w:highlight w:val="none"/>
        </w:rPr>
        <w:t>年</w:t>
      </w:r>
      <w:r>
        <w:rPr>
          <w:rFonts w:hint="eastAsia" w:ascii="仿宋" w:hAnsi="仿宋" w:eastAsia="仿宋" w:cs="Times New Roman"/>
          <w:sz w:val="36"/>
          <w:szCs w:val="36"/>
          <w:highlight w:val="none"/>
          <w:lang w:val="en-US" w:eastAsia="zh-CN"/>
        </w:rPr>
        <w:t>六</w:t>
      </w:r>
      <w:r>
        <w:rPr>
          <w:rFonts w:hint="eastAsia" w:ascii="仿宋" w:hAnsi="仿宋" w:eastAsia="仿宋" w:cs="Times New Roman"/>
          <w:sz w:val="36"/>
          <w:szCs w:val="36"/>
          <w:highlight w:val="none"/>
        </w:rPr>
        <w:t>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40"/>
          <w:lang w:val="en-US" w:eastAsia="zh-CN"/>
        </w:rPr>
        <w:sectPr>
          <w:pgSz w:w="11906" w:h="16838"/>
          <w:pgMar w:top="1440" w:right="839" w:bottom="1440" w:left="839" w:header="851" w:footer="992" w:gutter="0"/>
          <w:cols w:space="425" w:num="1"/>
          <w:docGrid w:type="lines" w:linePitch="312" w:charSpace="0"/>
        </w:sectPr>
      </w:pPr>
    </w:p>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广东东软学院</w:t>
      </w:r>
    </w:p>
    <w:p>
      <w:pPr>
        <w:jc w:val="center"/>
        <w:rPr>
          <w:rFonts w:hint="default" w:ascii="Times New Roman" w:hAnsi="Times New Roman" w:eastAsia="宋体" w:cs="Times New Roman"/>
          <w:b/>
          <w:sz w:val="30"/>
          <w:szCs w:val="30"/>
        </w:rPr>
      </w:pPr>
      <w:r>
        <w:rPr>
          <w:rFonts w:hint="eastAsia" w:ascii="宋体" w:hAnsi="宋体" w:eastAsia="宋体" w:cs="宋体"/>
          <w:b/>
          <w:bCs/>
          <w:sz w:val="32"/>
          <w:szCs w:val="40"/>
          <w:lang w:val="en-US" w:eastAsia="zh-CN"/>
        </w:rPr>
        <w:t>XXXX课程标准</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一、前言</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课程简介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简要介绍课程教学内容（课程描述）；课程在专业课程体系中的性质、地位和作用。</w:t>
      </w:r>
    </w:p>
    <w:p>
      <w:pPr>
        <w:keepNext w:val="0"/>
        <w:keepLines w:val="0"/>
        <w:pageBreakBefore w:val="0"/>
        <w:numPr>
          <w:ilvl w:val="0"/>
          <w:numId w:val="1"/>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课程设计（开发）的基本理念、方法与思路</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主要阐明课程设计指导思想和基本原则、课程设计依据、课程设计方法和思路等。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设计理念举例：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rPr>
        <w:t>以学生个性化学习和发展为中心，以学生学习产出为导向，以能力培养为主线，把线下面授教学与线上学习有机结合，有效帮助学生实现知识、能力、素质的同步提升。</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备注：教育理念、方法解读</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以学生为中心</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：以学生发展为中心、以学生学习为中心、以学习效果为中心。</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2．OBE(Outcomes-based Education)：成果导向教育，指基于学习产出的教育模式。</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3．TOPCARES基本理念方法：</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TOPCARES</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体现了学校对学生的最大关爱，通过促进学生知识、能力、素质全面协调发展，来创造学生的价值，并通过学生未来对社会的贡献来创造社会的价值。具有学校</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面向应用，产教融合，创新创业、国际化</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教育特色的一体化TOPCARES人才培养模式，从专业培养目标→毕业要求→一体化理论与实践课程体系层层分解，确定课程教学目标和学生预期学习效果，设计考核评价，组织教学内容，选取教学策略，开发与有效利用教学资源，评估与持续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混合式教育教学基本思想：将传统学习方式的优势和网络化学习的优势结合起来，将面对面教学和在线学习两种学习模式有机整合，既能发挥教师引导、启发、监控教学过程的主导作用，又要充分体现学生作为学习过程认知主体的主动性、积极性与创造性，从而获得最佳的学习效果。</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二、课程基本信息</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课程代码：</w:t>
      </w: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课程名称：</w:t>
      </w: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3.</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课程英文名称：</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课程类别：</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color w:val="FF0000"/>
          <w:sz w:val="24"/>
          <w:szCs w:val="24"/>
        </w:rPr>
      </w:pPr>
      <w:r>
        <w:rPr>
          <w:rFonts w:hint="default" w:ascii="Times New Roman" w:hAnsi="Times New Roman" w:eastAsia="宋体" w:cs="Times New Roman"/>
          <w:b w:val="0"/>
          <w:bCs/>
          <w:color w:val="FF0000"/>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b w:val="0"/>
          <w:bCs/>
          <w:color w:val="FF0000"/>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color w:val="FF0000"/>
          <w:sz w:val="24"/>
          <w:szCs w:val="24"/>
        </w:rPr>
      </w:pPr>
      <w:r>
        <w:rPr>
          <w:rFonts w:hint="default" w:ascii="Times New Roman" w:hAnsi="Times New Roman" w:eastAsia="宋体" w:cs="Times New Roman"/>
          <w:b w:val="0"/>
          <w:bCs/>
          <w:color w:val="FF0000"/>
          <w:sz w:val="24"/>
          <w:szCs w:val="24"/>
        </w:rPr>
        <w:t>（1）应按照“课程及项目编码规则”填写，分别为TC理论课、CC理论课（含实验、上机或实践）、EC实验课、PC实践课。</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strike/>
          <w:color w:val="FF0000"/>
          <w:sz w:val="24"/>
          <w:szCs w:val="24"/>
          <w:highlight w:val="none"/>
          <w:lang w:val="en-US" w:eastAsia="zh-CN"/>
        </w:rPr>
      </w:pPr>
      <w:r>
        <w:rPr>
          <w:rFonts w:hint="default" w:ascii="Times New Roman" w:hAnsi="Times New Roman" w:eastAsia="宋体" w:cs="Times New Roman"/>
          <w:b w:val="0"/>
          <w:bCs/>
          <w:color w:val="FF0000"/>
          <w:sz w:val="24"/>
          <w:szCs w:val="24"/>
        </w:rPr>
        <w:t>（2）混合式教学课程应填写目标类别，BEI类课程采用混合式教学的教学内容比例≥40%；BEII类课程采用混合式教学的教学内容比例≥20%；BEIII类课程采用混合式教学的教学内容比例＜20%。</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val="0"/>
          <w:bCs/>
          <w:color w:val="FF0000"/>
          <w:sz w:val="24"/>
          <w:szCs w:val="24"/>
          <w:lang w:val="en-US" w:eastAsia="zh-CN"/>
        </w:rPr>
      </w:pPr>
      <w:r>
        <w:rPr>
          <w:rFonts w:hint="default" w:ascii="Times New Roman" w:hAnsi="Times New Roman" w:eastAsia="宋体" w:cs="Times New Roman"/>
          <w:b/>
          <w:sz w:val="24"/>
          <w:szCs w:val="24"/>
        </w:rPr>
        <w:t>5.</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授课对象：</w:t>
      </w:r>
      <w:r>
        <w:rPr>
          <w:rFonts w:hint="default" w:ascii="Times New Roman" w:hAnsi="Times New Roman" w:eastAsia="宋体" w:cs="Times New Roman"/>
          <w:b w:val="0"/>
          <w:bCs/>
          <w:color w:val="auto"/>
          <w:sz w:val="24"/>
          <w:szCs w:val="24"/>
          <w:lang w:eastAsia="zh-CN"/>
        </w:rPr>
        <w:t>面向</w:t>
      </w:r>
      <w:r>
        <w:rPr>
          <w:rFonts w:hint="default" w:ascii="Times New Roman" w:hAnsi="Times New Roman" w:eastAsia="宋体" w:cs="Times New Roman"/>
          <w:b w:val="0"/>
          <w:bCs/>
          <w:color w:val="auto"/>
          <w:sz w:val="24"/>
          <w:szCs w:val="24"/>
          <w:lang w:val="en-US" w:eastAsia="zh-CN"/>
        </w:rPr>
        <w:t>XX专业</w:t>
      </w:r>
      <w:r>
        <w:rPr>
          <w:rFonts w:hint="default" w:ascii="Times New Roman" w:hAnsi="Times New Roman" w:eastAsia="宋体" w:cs="Times New Roman"/>
          <w:b w:val="0"/>
          <w:bCs/>
          <w:color w:val="auto"/>
          <w:sz w:val="24"/>
          <w:szCs w:val="24"/>
        </w:rPr>
        <w:t>本科</w:t>
      </w:r>
      <w:r>
        <w:rPr>
          <w:rFonts w:hint="eastAsia" w:ascii="Times New Roman" w:hAnsi="Times New Roman" w:eastAsia="宋体" w:cs="Times New Roman"/>
          <w:b w:val="0"/>
          <w:bCs/>
          <w:color w:val="auto"/>
          <w:sz w:val="24"/>
          <w:szCs w:val="24"/>
          <w:lang w:val="en-US" w:eastAsia="zh-CN"/>
        </w:rPr>
        <w:t>/专升本/专科</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highlight w:val="none"/>
          <w:lang w:val="en-US" w:eastAsia="zh-CN"/>
        </w:rPr>
        <w:t>备注</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val="0"/>
          <w:bCs/>
          <w:color w:val="auto"/>
          <w:sz w:val="24"/>
          <w:szCs w:val="24"/>
          <w:highlight w:val="none"/>
          <w:lang w:val="en-US" w:eastAsia="zh-CN"/>
        </w:rPr>
        <w:t>根据课程实际情况填写，如面向工科类专业本科或面向市场营销专业本科等</w:t>
      </w:r>
      <w:r>
        <w:rPr>
          <w:rFonts w:hint="eastAsia" w:ascii="Times New Roman" w:hAnsi="Times New Roman" w:eastAsia="宋体" w:cs="Times New Roman"/>
          <w:b w:val="0"/>
          <w:bCs/>
          <w:color w:val="auto"/>
          <w:sz w:val="24"/>
          <w:szCs w:val="24"/>
          <w:highlight w:val="none"/>
          <w:lang w:val="en-US" w:eastAsia="zh-CN"/>
        </w:rPr>
        <w:t>。</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sz w:val="24"/>
          <w:szCs w:val="24"/>
        </w:rPr>
        <w:t>开课单位：</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7.</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先修课程：</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8.</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学时安排：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val="0"/>
          <w:bCs/>
          <w:color w:val="auto"/>
          <w:sz w:val="24"/>
          <w:szCs w:val="24"/>
          <w:lang w:val="en-US" w:eastAsia="zh-CN"/>
        </w:rPr>
        <w:t>备注：</w:t>
      </w:r>
      <w:r>
        <w:rPr>
          <w:rFonts w:hint="eastAsia" w:ascii="Times New Roman" w:hAnsi="Times New Roman" w:eastAsia="宋体" w:cs="Times New Roman"/>
          <w:b w:val="0"/>
          <w:bCs/>
          <w:color w:val="auto"/>
          <w:sz w:val="24"/>
          <w:szCs w:val="24"/>
          <w:lang w:val="en-US" w:eastAsia="zh-CN"/>
        </w:rPr>
        <w:t>必须</w:t>
      </w:r>
      <w:r>
        <w:rPr>
          <w:rFonts w:hint="default" w:ascii="Times New Roman" w:hAnsi="Times New Roman" w:eastAsia="宋体" w:cs="Times New Roman"/>
          <w:b w:val="0"/>
          <w:bCs/>
          <w:color w:val="auto"/>
          <w:sz w:val="24"/>
          <w:szCs w:val="24"/>
          <w:lang w:val="en-US" w:eastAsia="zh-CN"/>
        </w:rPr>
        <w:t>与专业人才培养方案中培养计划课程设置进程表中的课程学分、学时安排一致</w:t>
      </w:r>
      <w:r>
        <w:rPr>
          <w:rFonts w:hint="eastAsia"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FF0000"/>
          <w:sz w:val="24"/>
          <w:szCs w:val="24"/>
          <w:lang w:val="en-US" w:eastAsia="zh-CN"/>
        </w:rPr>
        <w:t>课内</w:t>
      </w:r>
      <w:r>
        <w:rPr>
          <w:rFonts w:hint="default" w:ascii="Times New Roman" w:hAnsi="Times New Roman" w:eastAsia="宋体" w:cs="Times New Roman"/>
          <w:b w:val="0"/>
          <w:bCs/>
          <w:color w:val="FF0000"/>
          <w:sz w:val="24"/>
          <w:szCs w:val="24"/>
          <w:lang w:val="en-US" w:eastAsia="zh-CN"/>
        </w:rPr>
        <w:t>总学时=理论授课</w:t>
      </w:r>
      <w:r>
        <w:rPr>
          <w:rFonts w:hint="eastAsia" w:ascii="Times New Roman" w:hAnsi="Times New Roman" w:eastAsia="宋体" w:cs="Times New Roman"/>
          <w:b w:val="0"/>
          <w:bCs/>
          <w:color w:val="FF0000"/>
          <w:sz w:val="24"/>
          <w:szCs w:val="24"/>
          <w:lang w:val="en-US" w:eastAsia="zh-CN"/>
        </w:rPr>
        <w:t>学时</w:t>
      </w:r>
      <w:r>
        <w:rPr>
          <w:rFonts w:hint="default" w:ascii="Times New Roman" w:hAnsi="Times New Roman" w:eastAsia="宋体" w:cs="Times New Roman"/>
          <w:b w:val="0"/>
          <w:bCs/>
          <w:color w:val="FF0000"/>
          <w:sz w:val="24"/>
          <w:szCs w:val="24"/>
          <w:lang w:val="en-US" w:eastAsia="zh-CN"/>
        </w:rPr>
        <w:t>+</w:t>
      </w:r>
      <w:r>
        <w:rPr>
          <w:rFonts w:hint="eastAsia" w:ascii="Times New Roman" w:hAnsi="Times New Roman" w:eastAsia="宋体" w:cs="Times New Roman"/>
          <w:b w:val="0"/>
          <w:bCs/>
          <w:color w:val="FF0000"/>
          <w:sz w:val="24"/>
          <w:szCs w:val="24"/>
          <w:lang w:val="en-US" w:eastAsia="zh-CN"/>
        </w:rPr>
        <w:t>随堂实验学时+实验室学时</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其中</w:t>
      </w:r>
      <w:r>
        <w:rPr>
          <w:rFonts w:hint="default" w:ascii="Times New Roman" w:hAnsi="Times New Roman" w:eastAsia="宋体" w:cs="Times New Roman"/>
          <w:b w:val="0"/>
          <w:bCs/>
          <w:color w:val="FF0000"/>
          <w:sz w:val="24"/>
          <w:szCs w:val="24"/>
          <w:lang w:val="en-US" w:eastAsia="zh-CN"/>
        </w:rPr>
        <w:t>课外学时不</w:t>
      </w:r>
      <w:r>
        <w:rPr>
          <w:rFonts w:hint="eastAsia" w:ascii="Times New Roman" w:hAnsi="Times New Roman" w:eastAsia="宋体" w:cs="Times New Roman"/>
          <w:b w:val="0"/>
          <w:bCs/>
          <w:color w:val="FF0000"/>
          <w:sz w:val="24"/>
          <w:szCs w:val="24"/>
          <w:lang w:val="en-US" w:eastAsia="zh-CN"/>
        </w:rPr>
        <w:t>计入</w:t>
      </w:r>
      <w:r>
        <w:rPr>
          <w:rFonts w:hint="default" w:ascii="Times New Roman" w:hAnsi="Times New Roman" w:eastAsia="宋体" w:cs="Times New Roman"/>
          <w:b w:val="0"/>
          <w:bCs/>
          <w:color w:val="FF0000"/>
          <w:sz w:val="24"/>
          <w:szCs w:val="24"/>
          <w:lang w:val="en-US" w:eastAsia="zh-CN"/>
        </w:rPr>
        <w:t>总学时</w:t>
      </w:r>
      <w:r>
        <w:rPr>
          <w:rFonts w:hint="eastAsia" w:ascii="Times New Roman" w:hAnsi="Times New Roman" w:eastAsia="宋体" w:cs="Times New Roman"/>
          <w:b w:val="0"/>
          <w:bCs/>
          <w:color w:val="auto"/>
          <w:sz w:val="24"/>
          <w:szCs w:val="24"/>
          <w:lang w:val="en-US" w:eastAsia="zh-CN"/>
        </w:rPr>
        <w:t>，如有课外学时，需填写对应学时，并在</w:t>
      </w:r>
      <w:r>
        <w:rPr>
          <w:rFonts w:hint="eastAsia" w:ascii="Times New Roman" w:hAnsi="Times New Roman" w:eastAsia="宋体" w:cs="Times New Roman"/>
          <w:b w:val="0"/>
          <w:bCs/>
          <w:color w:val="FF0000"/>
          <w:sz w:val="24"/>
          <w:szCs w:val="24"/>
          <w:lang w:val="en-US" w:eastAsia="zh-CN"/>
        </w:rPr>
        <w:t>“五、各单元学时分配表”</w:t>
      </w:r>
      <w:r>
        <w:rPr>
          <w:rFonts w:hint="eastAsia" w:ascii="Times New Roman" w:hAnsi="Times New Roman" w:eastAsia="宋体" w:cs="Times New Roman"/>
          <w:b w:val="0"/>
          <w:bCs/>
          <w:color w:val="auto"/>
          <w:sz w:val="24"/>
          <w:szCs w:val="24"/>
          <w:lang w:val="en-US" w:eastAsia="zh-CN"/>
        </w:rPr>
        <w:t>作出具体说明；如</w:t>
      </w:r>
      <w:r>
        <w:rPr>
          <w:rFonts w:hint="default" w:ascii="Times New Roman" w:hAnsi="Times New Roman" w:eastAsia="宋体" w:cs="Times New Roman"/>
          <w:b w:val="0"/>
          <w:bCs/>
          <w:color w:val="auto"/>
          <w:sz w:val="24"/>
          <w:szCs w:val="24"/>
          <w:lang w:val="en-US" w:eastAsia="zh-CN"/>
        </w:rPr>
        <w:t>无课外学时，</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课外学时</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填</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0</w:t>
      </w:r>
      <w:r>
        <w:rPr>
          <w:rFonts w:hint="eastAsia" w:ascii="Times New Roman" w:hAnsi="Times New Roman" w:eastAsia="宋体" w:cs="Times New Roman"/>
          <w:b w:val="0"/>
          <w:bCs/>
          <w:color w:val="auto"/>
          <w:sz w:val="24"/>
          <w:szCs w:val="24"/>
          <w:lang w:val="en-US" w:eastAsia="zh-CN"/>
        </w:rPr>
        <w:t>”即可。</w:t>
      </w:r>
    </w:p>
    <w:tbl>
      <w:tblPr>
        <w:tblStyle w:val="7"/>
        <w:tblpPr w:leftFromText="180" w:rightFromText="180" w:vertAnchor="text" w:horzAnchor="margin" w:tblpXSpec="center" w:tblpY="160"/>
        <w:tblW w:w="0" w:type="auto"/>
        <w:jc w:val="center"/>
        <w:tblLayout w:type="autofit"/>
        <w:tblCellMar>
          <w:top w:w="0" w:type="dxa"/>
          <w:left w:w="0" w:type="dxa"/>
          <w:bottom w:w="0" w:type="dxa"/>
          <w:right w:w="0" w:type="dxa"/>
        </w:tblCellMar>
      </w:tblPr>
      <w:tblGrid>
        <w:gridCol w:w="846"/>
        <w:gridCol w:w="1417"/>
        <w:gridCol w:w="1701"/>
        <w:gridCol w:w="1701"/>
        <w:gridCol w:w="1701"/>
        <w:gridCol w:w="1694"/>
      </w:tblGrid>
      <w:tr>
        <w:tblPrEx>
          <w:tblCellMar>
            <w:top w:w="0" w:type="dxa"/>
            <w:left w:w="0" w:type="dxa"/>
            <w:bottom w:w="0" w:type="dxa"/>
            <w:right w:w="0" w:type="dxa"/>
          </w:tblCellMar>
        </w:tblPrEx>
        <w:trPr>
          <w:trHeight w:val="401" w:hRule="atLeast"/>
          <w:jc w:val="center"/>
        </w:trPr>
        <w:tc>
          <w:tcPr>
            <w:tcW w:w="846"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学分</w:t>
            </w:r>
          </w:p>
        </w:tc>
        <w:tc>
          <w:tcPr>
            <w:tcW w:w="1417"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课内总学时</w:t>
            </w:r>
          </w:p>
        </w:tc>
        <w:tc>
          <w:tcPr>
            <w:tcW w:w="510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其中</w:t>
            </w:r>
          </w:p>
        </w:tc>
        <w:tc>
          <w:tcPr>
            <w:tcW w:w="1694"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课外学时</w:t>
            </w:r>
          </w:p>
        </w:tc>
      </w:tr>
      <w:tr>
        <w:tblPrEx>
          <w:tblCellMar>
            <w:top w:w="0" w:type="dxa"/>
            <w:left w:w="0" w:type="dxa"/>
            <w:bottom w:w="0" w:type="dxa"/>
            <w:right w:w="0" w:type="dxa"/>
          </w:tblCellMar>
        </w:tblPrEx>
        <w:trPr>
          <w:trHeight w:val="441" w:hRule="atLeast"/>
          <w:jc w:val="center"/>
        </w:trPr>
        <w:tc>
          <w:tcPr>
            <w:tcW w:w="846"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4"/>
                <w:szCs w:val="24"/>
              </w:rPr>
            </w:pPr>
          </w:p>
        </w:tc>
        <w:tc>
          <w:tcPr>
            <w:tcW w:w="1417"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b/>
                <w:color w:val="auto"/>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理论授课学时</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随堂实验学时</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实验室学时</w:t>
            </w:r>
          </w:p>
        </w:tc>
        <w:tc>
          <w:tcPr>
            <w:tcW w:w="1694"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4"/>
                <w:szCs w:val="24"/>
              </w:rPr>
            </w:pPr>
          </w:p>
        </w:tc>
      </w:tr>
      <w:tr>
        <w:tblPrEx>
          <w:tblCellMar>
            <w:top w:w="0" w:type="dxa"/>
            <w:left w:w="0" w:type="dxa"/>
            <w:bottom w:w="0" w:type="dxa"/>
            <w:right w:w="0" w:type="dxa"/>
          </w:tblCellMar>
        </w:tblPrEx>
        <w:trPr>
          <w:trHeight w:val="33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如：2</w:t>
            </w:r>
          </w:p>
        </w:tc>
        <w:tc>
          <w:tcPr>
            <w:tcW w:w="14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32</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32</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color w:val="auto"/>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p>
        </w:tc>
      </w:tr>
    </w:tbl>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三、课程预期学习效果</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课程教学目标</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预期学习效果</w:t>
      </w:r>
    </w:p>
    <w:tbl>
      <w:tblPr>
        <w:tblStyle w:val="7"/>
        <w:tblpPr w:leftFromText="180" w:rightFromText="180" w:vertAnchor="text" w:horzAnchor="margin" w:tblpXSpec="center" w:tblpY="27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3426"/>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pct"/>
            <w:vAlign w:val="center"/>
          </w:tcPr>
          <w:p>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支撑的TOPCARES </w:t>
            </w:r>
          </w:p>
          <w:p>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三级指标</w:t>
            </w:r>
          </w:p>
        </w:tc>
        <w:tc>
          <w:tcPr>
            <w:tcW w:w="1640" w:type="pct"/>
            <w:vAlign w:val="center"/>
          </w:tcPr>
          <w:p>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预期学习效果</w:t>
            </w:r>
          </w:p>
        </w:tc>
        <w:tc>
          <w:tcPr>
            <w:tcW w:w="2031" w:type="pct"/>
            <w:vAlign w:val="center"/>
          </w:tcPr>
          <w:p>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培养路径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如：1.2.1专业基础知识</w:t>
            </w:r>
          </w:p>
        </w:tc>
        <w:tc>
          <w:tcPr>
            <w:tcW w:w="1640" w:type="pct"/>
            <w:vAlign w:val="center"/>
          </w:tcPr>
          <w:p>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掌握数理逻辑、基本集合论、图论基础的基本概念和建模方法，并掌握其重要的工程应用实例。</w:t>
            </w:r>
          </w:p>
        </w:tc>
        <w:tc>
          <w:tcPr>
            <w:tcW w:w="2031" w:type="pct"/>
            <w:vAlign w:val="center"/>
          </w:tcPr>
          <w:p>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通过设计课前、课中、课后习题作业，有效促进学生对离散数学知识的了解、掌握、应用的递进培养，并通过引入具体的实际案例，唤起学生的学习兴趣和学习投入，做到知行合一。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pct"/>
            <w:vAlign w:val="center"/>
          </w:tcPr>
          <w:p>
            <w:pPr>
              <w:spacing w:line="400" w:lineRule="exact"/>
              <w:jc w:val="center"/>
              <w:rPr>
                <w:rFonts w:hint="eastAsia" w:ascii="宋体" w:hAnsi="宋体" w:eastAsia="宋体" w:cs="宋体"/>
                <w:color w:val="auto"/>
                <w:sz w:val="24"/>
                <w:szCs w:val="24"/>
              </w:rPr>
            </w:pPr>
          </w:p>
        </w:tc>
        <w:tc>
          <w:tcPr>
            <w:tcW w:w="1640" w:type="pct"/>
            <w:vAlign w:val="center"/>
          </w:tcPr>
          <w:p>
            <w:pPr>
              <w:spacing w:line="400" w:lineRule="exact"/>
              <w:jc w:val="left"/>
              <w:rPr>
                <w:rFonts w:hint="eastAsia" w:ascii="宋体" w:hAnsi="宋体" w:eastAsia="宋体" w:cs="宋体"/>
                <w:color w:val="auto"/>
                <w:sz w:val="24"/>
                <w:szCs w:val="24"/>
              </w:rPr>
            </w:pPr>
          </w:p>
        </w:tc>
        <w:tc>
          <w:tcPr>
            <w:tcW w:w="2031" w:type="pct"/>
          </w:tcPr>
          <w:p>
            <w:pPr>
              <w:spacing w:line="4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pct"/>
            <w:vAlign w:val="center"/>
          </w:tcPr>
          <w:p>
            <w:pPr>
              <w:spacing w:line="400" w:lineRule="exact"/>
              <w:jc w:val="center"/>
              <w:rPr>
                <w:rFonts w:hint="eastAsia" w:ascii="宋体" w:hAnsi="宋体" w:eastAsia="宋体" w:cs="宋体"/>
                <w:color w:val="auto"/>
                <w:sz w:val="24"/>
                <w:szCs w:val="24"/>
              </w:rPr>
            </w:pPr>
          </w:p>
        </w:tc>
        <w:tc>
          <w:tcPr>
            <w:tcW w:w="1640" w:type="pct"/>
            <w:vAlign w:val="center"/>
          </w:tcPr>
          <w:p>
            <w:pPr>
              <w:spacing w:line="400" w:lineRule="exact"/>
              <w:jc w:val="left"/>
              <w:rPr>
                <w:rFonts w:hint="eastAsia" w:ascii="宋体" w:hAnsi="宋体" w:eastAsia="宋体" w:cs="宋体"/>
                <w:color w:val="auto"/>
                <w:sz w:val="24"/>
                <w:szCs w:val="24"/>
              </w:rPr>
            </w:pPr>
          </w:p>
        </w:tc>
        <w:tc>
          <w:tcPr>
            <w:tcW w:w="2031" w:type="pct"/>
          </w:tcPr>
          <w:p>
            <w:pPr>
              <w:spacing w:line="400" w:lineRule="exact"/>
              <w:jc w:val="left"/>
              <w:rPr>
                <w:rFonts w:hint="eastAsia" w:ascii="宋体" w:hAnsi="宋体" w:eastAsia="宋体" w:cs="宋体"/>
                <w:color w:val="auto"/>
                <w:sz w:val="24"/>
                <w:szCs w:val="24"/>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val="0"/>
          <w:bCs/>
          <w:sz w:val="24"/>
          <w:lang w:val="en-US" w:eastAsia="zh-CN"/>
        </w:rPr>
        <w:t>1</w:t>
      </w:r>
      <w:r>
        <w:rPr>
          <w:rFonts w:hint="eastAsia" w:ascii="Times New Roman" w:hAnsi="Times New Roman" w:eastAsia="宋体" w:cs="Times New Roman"/>
          <w:b w:val="0"/>
          <w:bCs/>
          <w:sz w:val="24"/>
          <w:lang w:eastAsia="zh-CN"/>
        </w:rPr>
        <w:t>）</w:t>
      </w:r>
      <w:r>
        <w:rPr>
          <w:rFonts w:hint="default" w:ascii="Times New Roman" w:hAnsi="Times New Roman" w:eastAsia="宋体" w:cs="Times New Roman"/>
          <w:b/>
          <w:bCs w:val="0"/>
          <w:sz w:val="24"/>
        </w:rPr>
        <w:t>原则上1个预期学习效果可对应多个三级指标，但只能支撑1个二级指标，1个三级指标可由多个预期效果支撑。</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val="0"/>
          <w:bCs/>
          <w:sz w:val="24"/>
          <w:lang w:val="en-US" w:eastAsia="zh-CN"/>
        </w:rPr>
        <w:t>2</w:t>
      </w: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bCs/>
          <w:sz w:val="24"/>
          <w:szCs w:val="24"/>
          <w:lang w:val="en-US" w:eastAsia="zh-CN"/>
        </w:rPr>
        <w:t>预期学习效果</w:t>
      </w:r>
      <w:r>
        <w:rPr>
          <w:rFonts w:hint="default" w:ascii="Times New Roman" w:hAnsi="Times New Roman" w:eastAsia="宋体" w:cs="Times New Roman"/>
          <w:sz w:val="24"/>
          <w:szCs w:val="24"/>
        </w:rPr>
        <w:t>包含了多维度深层次的课程目标，应从知识、能力与素质等方面进行具体界定，期待学生在知识、能力、素质等方面发生什么转变，期待学生学会做什么。预期学习效果应该</w:t>
      </w:r>
      <w:r>
        <w:rPr>
          <w:rFonts w:hint="eastAsia" w:ascii="Times New Roman" w:hAnsi="Times New Roman" w:eastAsia="宋体" w:cs="Times New Roman"/>
          <w:sz w:val="24"/>
          <w:szCs w:val="24"/>
          <w:lang w:val="en-US" w:eastAsia="zh-CN"/>
        </w:rPr>
        <w:t>具体</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可观察、能测评</w:t>
      </w:r>
      <w:r>
        <w:rPr>
          <w:rFonts w:hint="default" w:ascii="Times New Roman" w:hAnsi="Times New Roman" w:eastAsia="宋体" w:cs="Times New Roman"/>
          <w:sz w:val="24"/>
          <w:szCs w:val="24"/>
        </w:rPr>
        <w:t>，能够有效支撑专业人才培养TOPCARES指标，从而向上支撑毕业要求和培养目标的达成。</w:t>
      </w:r>
      <w:bookmarkStart w:id="0" w:name="_Hlk533616254"/>
      <w:r>
        <w:rPr>
          <w:rFonts w:hint="default" w:ascii="Times New Roman" w:hAnsi="Times New Roman" w:eastAsia="宋体" w:cs="Times New Roman"/>
          <w:sz w:val="24"/>
          <w:szCs w:val="24"/>
        </w:rPr>
        <w:t>预期学习效果还应注重“高阶性”能力目标的设置，培养学生解决复杂问题的综合能力和高级思维，并注重结合职业岗位需求、专业及课程特点等设置素质目标。每门课程都应注重通过专业教育与思想政治教育的紧密融合，立德树人，帮助学生逐步明确自己的学习目标、人生目标。</w:t>
      </w:r>
      <w:bookmarkEnd w:id="0"/>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val="0"/>
          <w:bCs/>
          <w:sz w:val="24"/>
          <w:lang w:val="en-US" w:eastAsia="zh-CN"/>
        </w:rPr>
        <w:t>3</w:t>
      </w:r>
      <w:r>
        <w:rPr>
          <w:rFonts w:hint="eastAsia" w:ascii="Times New Roman" w:hAnsi="Times New Roman" w:eastAsia="宋体" w:cs="Times New Roman"/>
          <w:b w:val="0"/>
          <w:bCs/>
          <w:sz w:val="24"/>
          <w:lang w:eastAsia="zh-CN"/>
        </w:rPr>
        <w:t>）</w:t>
      </w:r>
      <w:r>
        <w:rPr>
          <w:rFonts w:hint="default" w:ascii="Times New Roman" w:hAnsi="Times New Roman" w:eastAsia="宋体" w:cs="Times New Roman"/>
          <w:b/>
          <w:sz w:val="24"/>
          <w:szCs w:val="24"/>
        </w:rPr>
        <w:t>培养路径</w:t>
      </w:r>
      <w:r>
        <w:rPr>
          <w:rFonts w:hint="default" w:ascii="Times New Roman" w:hAnsi="Times New Roman" w:eastAsia="宋体" w:cs="Times New Roman"/>
          <w:sz w:val="24"/>
          <w:szCs w:val="24"/>
        </w:rPr>
        <w:t>主要从整体上考虑预期学习效果、</w:t>
      </w:r>
      <w:r>
        <w:rPr>
          <w:rFonts w:hint="eastAsia" w:ascii="Times New Roman" w:hAnsi="Times New Roman" w:eastAsia="宋体" w:cs="Times New Roman"/>
          <w:sz w:val="24"/>
          <w:szCs w:val="24"/>
          <w:lang w:val="en-US" w:eastAsia="zh-CN"/>
        </w:rPr>
        <w:t>专业</w:t>
      </w:r>
      <w:r>
        <w:rPr>
          <w:rFonts w:hint="default" w:ascii="Times New Roman" w:hAnsi="Times New Roman" w:eastAsia="宋体" w:cs="Times New Roman"/>
          <w:sz w:val="24"/>
          <w:szCs w:val="24"/>
        </w:rPr>
        <w:t>TOPCARES</w:t>
      </w:r>
      <w:r>
        <w:rPr>
          <w:rFonts w:hint="eastAsia" w:ascii="Times New Roman" w:hAnsi="Times New Roman" w:eastAsia="宋体" w:cs="Times New Roman"/>
          <w:sz w:val="24"/>
          <w:szCs w:val="24"/>
          <w:lang w:val="en-US" w:eastAsia="zh-CN"/>
        </w:rPr>
        <w:t>培养</w:t>
      </w:r>
      <w:r>
        <w:rPr>
          <w:rFonts w:hint="default" w:ascii="Times New Roman" w:hAnsi="Times New Roman" w:eastAsia="宋体" w:cs="Times New Roman"/>
          <w:sz w:val="24"/>
          <w:szCs w:val="24"/>
        </w:rPr>
        <w:t>指标的实现途径，体现目标、培养路线的一体化设计。培养路径可以从教学内容、方法、活动（课堂教学、课内外作业、实验实践项目、测验）等角度进行</w:t>
      </w:r>
      <w:r>
        <w:rPr>
          <w:rFonts w:hint="eastAsia" w:ascii="Times New Roman" w:hAnsi="Times New Roman" w:eastAsia="宋体" w:cs="Times New Roman"/>
          <w:sz w:val="24"/>
          <w:szCs w:val="24"/>
          <w:lang w:val="en-US" w:eastAsia="zh-CN"/>
        </w:rPr>
        <w:t>概括凝练</w:t>
      </w:r>
      <w:r>
        <w:rPr>
          <w:rFonts w:hint="default" w:ascii="Times New Roman" w:hAnsi="Times New Roman" w:eastAsia="宋体" w:cs="Times New Roman"/>
          <w:sz w:val="24"/>
          <w:szCs w:val="24"/>
        </w:rPr>
        <w:t>描述，</w:t>
      </w:r>
      <w:r>
        <w:rPr>
          <w:rFonts w:hint="eastAsia" w:ascii="Times New Roman" w:hAnsi="Times New Roman" w:eastAsia="宋体" w:cs="Times New Roman"/>
          <w:sz w:val="24"/>
          <w:szCs w:val="24"/>
          <w:lang w:val="en-US" w:eastAsia="zh-CN"/>
        </w:rPr>
        <w:t>最终目的是保证预期效果和专业TOPCARES培养指标真正达成</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3.KT点设计</w:t>
      </w:r>
    </w:p>
    <w:tbl>
      <w:tblPr>
        <w:tblStyle w:val="7"/>
        <w:tblpPr w:leftFromText="180" w:rightFromText="180" w:vertAnchor="text" w:horzAnchor="margin" w:tblpXSpec="center" w:tblpY="27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883"/>
        <w:gridCol w:w="2179"/>
        <w:gridCol w:w="938"/>
        <w:gridCol w:w="932"/>
        <w:gridCol w:w="91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KT点编号</w:t>
            </w:r>
          </w:p>
        </w:tc>
        <w:tc>
          <w:tcPr>
            <w:tcW w:w="901"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1043"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对应布鲁姆目标掌握程度</w:t>
            </w:r>
          </w:p>
        </w:tc>
        <w:tc>
          <w:tcPr>
            <w:tcW w:w="449"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是否重点</w:t>
            </w:r>
          </w:p>
        </w:tc>
        <w:tc>
          <w:tcPr>
            <w:tcW w:w="446"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难易程度</w:t>
            </w:r>
          </w:p>
        </w:tc>
        <w:tc>
          <w:tcPr>
            <w:tcW w:w="440"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是否自学</w:t>
            </w:r>
          </w:p>
        </w:tc>
        <w:tc>
          <w:tcPr>
            <w:tcW w:w="1269"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关键前修KT点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如：KT1</w:t>
            </w:r>
          </w:p>
        </w:tc>
        <w:tc>
          <w:tcPr>
            <w:tcW w:w="901"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命题与联结词</w:t>
            </w:r>
          </w:p>
        </w:tc>
        <w:tc>
          <w:tcPr>
            <w:tcW w:w="1043"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44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46"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易</w:t>
            </w:r>
          </w:p>
        </w:tc>
        <w:tc>
          <w:tcPr>
            <w:tcW w:w="440"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pPr>
              <w:spacing w:line="400" w:lineRule="exact"/>
              <w:jc w:val="center"/>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KT2</w:t>
            </w:r>
          </w:p>
        </w:tc>
        <w:tc>
          <w:tcPr>
            <w:tcW w:w="901"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谓词和量词</w:t>
            </w:r>
          </w:p>
        </w:tc>
        <w:tc>
          <w:tcPr>
            <w:tcW w:w="1043"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44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46"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440"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pPr>
              <w:spacing w:line="400" w:lineRule="exact"/>
              <w:jc w:val="center"/>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KT3</w:t>
            </w:r>
          </w:p>
        </w:tc>
        <w:tc>
          <w:tcPr>
            <w:tcW w:w="901"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逻辑等价</w:t>
            </w:r>
          </w:p>
        </w:tc>
        <w:tc>
          <w:tcPr>
            <w:tcW w:w="1043" w:type="pct"/>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2.理解(Understand)</w:t>
            </w:r>
          </w:p>
        </w:tc>
        <w:tc>
          <w:tcPr>
            <w:tcW w:w="449" w:type="pct"/>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是</w:t>
            </w:r>
          </w:p>
        </w:tc>
        <w:tc>
          <w:tcPr>
            <w:tcW w:w="446" w:type="pct"/>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中</w:t>
            </w:r>
          </w:p>
        </w:tc>
        <w:tc>
          <w:tcPr>
            <w:tcW w:w="440" w:type="pct"/>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pPr>
              <w:spacing w:line="400" w:lineRule="exact"/>
              <w:jc w:val="center"/>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KT1_命题与联结</w:t>
            </w:r>
          </w:p>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KT2_谓词和量词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KT4</w:t>
            </w:r>
          </w:p>
        </w:tc>
        <w:tc>
          <w:tcPr>
            <w:tcW w:w="901"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推理规则</w:t>
            </w:r>
          </w:p>
        </w:tc>
        <w:tc>
          <w:tcPr>
            <w:tcW w:w="1043"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44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是</w:t>
            </w:r>
          </w:p>
        </w:tc>
        <w:tc>
          <w:tcPr>
            <w:tcW w:w="446"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440"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pPr>
              <w:spacing w:line="400" w:lineRule="exact"/>
              <w:jc w:val="center"/>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KT5</w:t>
            </w:r>
          </w:p>
        </w:tc>
        <w:tc>
          <w:tcPr>
            <w:tcW w:w="901"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证明方法</w:t>
            </w:r>
          </w:p>
        </w:tc>
        <w:tc>
          <w:tcPr>
            <w:tcW w:w="1043"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3.运用(Apply)</w:t>
            </w:r>
          </w:p>
        </w:tc>
        <w:tc>
          <w:tcPr>
            <w:tcW w:w="449"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46"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440"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pPr>
              <w:spacing w:line="400" w:lineRule="exact"/>
              <w:jc w:val="center"/>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KT3_逻辑等价</w:t>
            </w:r>
          </w:p>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KT4_推理规则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pacing w:line="400" w:lineRule="exact"/>
              <w:jc w:val="center"/>
              <w:rPr>
                <w:rFonts w:hint="eastAsia" w:ascii="宋体" w:hAnsi="宋体" w:eastAsia="宋体" w:cs="宋体"/>
                <w:color w:val="auto"/>
                <w:sz w:val="24"/>
                <w:szCs w:val="24"/>
              </w:rPr>
            </w:pPr>
          </w:p>
        </w:tc>
        <w:tc>
          <w:tcPr>
            <w:tcW w:w="901" w:type="pct"/>
            <w:vAlign w:val="center"/>
          </w:tcPr>
          <w:p>
            <w:pPr>
              <w:spacing w:line="400" w:lineRule="exact"/>
              <w:jc w:val="left"/>
              <w:rPr>
                <w:rFonts w:hint="eastAsia" w:ascii="宋体" w:hAnsi="宋体" w:eastAsia="宋体" w:cs="宋体"/>
                <w:color w:val="auto"/>
                <w:sz w:val="24"/>
                <w:szCs w:val="24"/>
              </w:rPr>
            </w:pPr>
          </w:p>
        </w:tc>
        <w:tc>
          <w:tcPr>
            <w:tcW w:w="1043" w:type="pct"/>
          </w:tcPr>
          <w:p>
            <w:pPr>
              <w:spacing w:line="400" w:lineRule="exact"/>
              <w:jc w:val="left"/>
              <w:rPr>
                <w:rFonts w:hint="eastAsia" w:ascii="宋体" w:hAnsi="宋体" w:eastAsia="宋体" w:cs="宋体"/>
                <w:color w:val="auto"/>
                <w:sz w:val="24"/>
                <w:szCs w:val="24"/>
              </w:rPr>
            </w:pPr>
          </w:p>
        </w:tc>
        <w:tc>
          <w:tcPr>
            <w:tcW w:w="449" w:type="pct"/>
          </w:tcPr>
          <w:p>
            <w:pPr>
              <w:spacing w:line="400" w:lineRule="exact"/>
              <w:jc w:val="left"/>
              <w:rPr>
                <w:rFonts w:hint="eastAsia" w:ascii="宋体" w:hAnsi="宋体" w:eastAsia="宋体" w:cs="宋体"/>
                <w:color w:val="auto"/>
                <w:sz w:val="24"/>
                <w:szCs w:val="24"/>
              </w:rPr>
            </w:pPr>
          </w:p>
        </w:tc>
        <w:tc>
          <w:tcPr>
            <w:tcW w:w="446" w:type="pct"/>
          </w:tcPr>
          <w:p>
            <w:pPr>
              <w:spacing w:line="400" w:lineRule="exact"/>
              <w:jc w:val="left"/>
              <w:rPr>
                <w:rFonts w:hint="eastAsia" w:ascii="宋体" w:hAnsi="宋体" w:eastAsia="宋体" w:cs="宋体"/>
                <w:color w:val="auto"/>
                <w:sz w:val="24"/>
                <w:szCs w:val="24"/>
              </w:rPr>
            </w:pPr>
          </w:p>
        </w:tc>
        <w:tc>
          <w:tcPr>
            <w:tcW w:w="440" w:type="pct"/>
          </w:tcPr>
          <w:p>
            <w:pPr>
              <w:spacing w:line="400" w:lineRule="exact"/>
              <w:jc w:val="left"/>
              <w:rPr>
                <w:rFonts w:hint="eastAsia" w:ascii="宋体" w:hAnsi="宋体" w:eastAsia="宋体" w:cs="宋体"/>
                <w:color w:val="auto"/>
                <w:sz w:val="24"/>
                <w:szCs w:val="24"/>
              </w:rPr>
            </w:pPr>
          </w:p>
        </w:tc>
        <w:tc>
          <w:tcPr>
            <w:tcW w:w="1269" w:type="pct"/>
          </w:tcPr>
          <w:p>
            <w:pPr>
              <w:spacing w:line="4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pacing w:line="400" w:lineRule="exact"/>
              <w:jc w:val="center"/>
              <w:rPr>
                <w:rFonts w:hint="eastAsia" w:ascii="宋体" w:hAnsi="宋体" w:eastAsia="宋体" w:cs="宋体"/>
                <w:color w:val="auto"/>
                <w:sz w:val="24"/>
                <w:szCs w:val="24"/>
              </w:rPr>
            </w:pPr>
          </w:p>
        </w:tc>
        <w:tc>
          <w:tcPr>
            <w:tcW w:w="901" w:type="pct"/>
            <w:vAlign w:val="center"/>
          </w:tcPr>
          <w:p>
            <w:pPr>
              <w:spacing w:line="400" w:lineRule="exact"/>
              <w:jc w:val="left"/>
              <w:rPr>
                <w:rFonts w:hint="eastAsia" w:ascii="宋体" w:hAnsi="宋体" w:eastAsia="宋体" w:cs="宋体"/>
                <w:color w:val="auto"/>
                <w:sz w:val="24"/>
                <w:szCs w:val="24"/>
              </w:rPr>
            </w:pPr>
          </w:p>
        </w:tc>
        <w:tc>
          <w:tcPr>
            <w:tcW w:w="1043" w:type="pct"/>
          </w:tcPr>
          <w:p>
            <w:pPr>
              <w:spacing w:line="400" w:lineRule="exact"/>
              <w:jc w:val="left"/>
              <w:rPr>
                <w:rFonts w:hint="eastAsia" w:ascii="宋体" w:hAnsi="宋体" w:eastAsia="宋体" w:cs="宋体"/>
                <w:color w:val="auto"/>
                <w:sz w:val="24"/>
                <w:szCs w:val="24"/>
              </w:rPr>
            </w:pPr>
          </w:p>
        </w:tc>
        <w:tc>
          <w:tcPr>
            <w:tcW w:w="449" w:type="pct"/>
          </w:tcPr>
          <w:p>
            <w:pPr>
              <w:spacing w:line="400" w:lineRule="exact"/>
              <w:jc w:val="left"/>
              <w:rPr>
                <w:rFonts w:hint="eastAsia" w:ascii="宋体" w:hAnsi="宋体" w:eastAsia="宋体" w:cs="宋体"/>
                <w:color w:val="auto"/>
                <w:sz w:val="24"/>
                <w:szCs w:val="24"/>
              </w:rPr>
            </w:pPr>
          </w:p>
        </w:tc>
        <w:tc>
          <w:tcPr>
            <w:tcW w:w="446" w:type="pct"/>
          </w:tcPr>
          <w:p>
            <w:pPr>
              <w:spacing w:line="400" w:lineRule="exact"/>
              <w:jc w:val="left"/>
              <w:rPr>
                <w:rFonts w:hint="eastAsia" w:ascii="宋体" w:hAnsi="宋体" w:eastAsia="宋体" w:cs="宋体"/>
                <w:color w:val="auto"/>
                <w:sz w:val="24"/>
                <w:szCs w:val="24"/>
              </w:rPr>
            </w:pPr>
          </w:p>
        </w:tc>
        <w:tc>
          <w:tcPr>
            <w:tcW w:w="440" w:type="pct"/>
          </w:tcPr>
          <w:p>
            <w:pPr>
              <w:spacing w:line="400" w:lineRule="exact"/>
              <w:jc w:val="left"/>
              <w:rPr>
                <w:rFonts w:hint="eastAsia" w:ascii="宋体" w:hAnsi="宋体" w:eastAsia="宋体" w:cs="宋体"/>
                <w:color w:val="auto"/>
                <w:sz w:val="24"/>
                <w:szCs w:val="24"/>
              </w:rPr>
            </w:pPr>
          </w:p>
        </w:tc>
        <w:tc>
          <w:tcPr>
            <w:tcW w:w="1269" w:type="pct"/>
          </w:tcPr>
          <w:p>
            <w:pPr>
              <w:spacing w:line="400" w:lineRule="exact"/>
              <w:jc w:val="left"/>
              <w:rPr>
                <w:rFonts w:hint="eastAsia" w:ascii="宋体" w:hAnsi="宋体" w:eastAsia="宋体" w:cs="宋体"/>
                <w:color w:val="auto"/>
                <w:sz w:val="24"/>
                <w:szCs w:val="24"/>
              </w:rPr>
            </w:pPr>
          </w:p>
        </w:tc>
      </w:tr>
    </w:tbl>
    <w:p>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成文时请删除备注信息</w:t>
      </w:r>
      <w:r>
        <w:rPr>
          <w:rFonts w:hint="eastAsia" w:ascii="宋体" w:hAnsi="宋体" w:eastAsia="宋体" w:cs="宋体"/>
          <w:color w:val="FF0000"/>
          <w:sz w:val="24"/>
          <w:szCs w:val="24"/>
          <w:highlight w:val="none"/>
          <w:lang w:eastAsia="zh-CN"/>
        </w:rPr>
        <w:t>）</w:t>
      </w:r>
      <w:r>
        <w:rPr>
          <w:rFonts w:hint="eastAsia" w:ascii="宋体" w:hAnsi="宋体" w:eastAsia="宋体" w:cs="宋体"/>
          <w:color w:val="auto"/>
          <w:sz w:val="24"/>
          <w:szCs w:val="24"/>
        </w:rPr>
        <w:t>：</w:t>
      </w:r>
    </w:p>
    <w:p>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1.KT（Knowledge &amp; Key Technology）点：</w:t>
      </w:r>
      <w:r>
        <w:rPr>
          <w:rFonts w:hint="eastAsia" w:ascii="宋体" w:hAnsi="宋体" w:eastAsia="宋体" w:cs="宋体"/>
          <w:color w:val="auto"/>
          <w:sz w:val="24"/>
          <w:szCs w:val="24"/>
        </w:rPr>
        <w:t>即知识点（群）与技能点（能力），包括知识点以及知识点和学科内容背后支撑性的方法、思维、能力等。</w:t>
      </w:r>
    </w:p>
    <w:p>
      <w:pPr>
        <w:widowControl/>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KT点注重“五新”融入（新理论、新技术、新工具、新应用、新产品），注重增加体现多学科思维融合、产业技术与学科理论融合、跨专业能力融合、多学科项目实践融合内容。</w:t>
      </w:r>
    </w:p>
    <w:p>
      <w:pPr>
        <w:widowControl/>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KT点是课程知识图谱的组成部分，能支撑预期学习效果，应做到概念框架清晰、重难点明确区分、颗粒度设置科学而不能过粗（如直接写单元或章节名称）。</w:t>
      </w:r>
    </w:p>
    <w:p>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2.内容：</w:t>
      </w:r>
      <w:r>
        <w:rPr>
          <w:rFonts w:hint="eastAsia" w:ascii="宋体" w:hAnsi="宋体" w:eastAsia="宋体" w:cs="宋体"/>
          <w:color w:val="auto"/>
          <w:sz w:val="24"/>
          <w:szCs w:val="24"/>
        </w:rPr>
        <w:t>参照关联的课程设置知识群和能力，其中新学习的内容要点，不应包含重复理论课程的内容，能力应适度进阶。</w:t>
      </w:r>
    </w:p>
    <w:p>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3.对应布鲁姆目标掌握程度：</w:t>
      </w:r>
      <w:r>
        <w:rPr>
          <w:rFonts w:hint="eastAsia" w:ascii="宋体" w:hAnsi="宋体" w:eastAsia="宋体" w:cs="宋体"/>
          <w:color w:val="auto"/>
          <w:sz w:val="24"/>
          <w:szCs w:val="24"/>
        </w:rPr>
        <w:t>在认知领域由低阶向高阶分为六个层次，1个KT点如有不同掌握程度，分2条或多条填写。</w:t>
      </w:r>
    </w:p>
    <w:p>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4.重点、难易程度：</w:t>
      </w:r>
      <w:r>
        <w:rPr>
          <w:rFonts w:hint="eastAsia" w:ascii="宋体" w:hAnsi="宋体" w:eastAsia="宋体" w:cs="宋体"/>
          <w:color w:val="auto"/>
          <w:sz w:val="24"/>
          <w:szCs w:val="24"/>
        </w:rPr>
        <w:t>重难点设置合理，其中重点应为核心知识点、技能点和考核点等，难点应为易混点、易漏点、易错点、灵活点等。</w:t>
      </w:r>
    </w:p>
    <w:p>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5.自学：</w:t>
      </w:r>
      <w:r>
        <w:rPr>
          <w:rFonts w:hint="eastAsia" w:ascii="宋体" w:hAnsi="宋体" w:eastAsia="宋体" w:cs="宋体"/>
          <w:color w:val="auto"/>
          <w:sz w:val="24"/>
          <w:szCs w:val="24"/>
        </w:rPr>
        <w:t>强调把学生能够自己学会的内容全部交给学生，学生通过线上自主学习来完成，自己学不会的或需进一步挖掘的内容，再由教师进行有针对性的线下教学指导，从而提高教学效率。</w:t>
      </w:r>
    </w:p>
    <w:p>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6.关键前修KT点：</w:t>
      </w:r>
      <w:r>
        <w:rPr>
          <w:rFonts w:hint="eastAsia" w:ascii="宋体" w:hAnsi="宋体" w:eastAsia="宋体" w:cs="宋体"/>
          <w:color w:val="auto"/>
          <w:sz w:val="24"/>
          <w:szCs w:val="24"/>
        </w:rPr>
        <w:t>用于建立课程KT点之间的逻辑关系，仅填写直接前修关键的KT点。</w:t>
      </w:r>
    </w:p>
    <w:p>
      <w:pPr>
        <w:spacing w:line="400" w:lineRule="exact"/>
        <w:ind w:firstLine="480" w:firstLineChars="200"/>
        <w:rPr>
          <w:rFonts w:hint="eastAsia" w:ascii="思源黑体 CN Normal" w:hAnsi="思源黑体 CN Normal" w:eastAsia="思源黑体 CN Normal"/>
          <w:b/>
          <w:color w:val="auto"/>
          <w:sz w:val="24"/>
          <w:szCs w:val="24"/>
        </w:rPr>
      </w:pPr>
    </w:p>
    <w:p>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4.KT点与预期学习效果映射</w:t>
      </w:r>
    </w:p>
    <w:tbl>
      <w:tblPr>
        <w:tblStyle w:val="7"/>
        <w:tblpPr w:leftFromText="180" w:rightFromText="180" w:vertAnchor="text" w:horzAnchor="margin" w:tblpXSpec="center" w:tblpY="27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2778"/>
        <w:gridCol w:w="3114"/>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TOPCARES</w:t>
            </w:r>
          </w:p>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三级指标</w:t>
            </w:r>
          </w:p>
        </w:tc>
        <w:tc>
          <w:tcPr>
            <w:tcW w:w="1330"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预期学习效果</w:t>
            </w:r>
          </w:p>
        </w:tc>
        <w:tc>
          <w:tcPr>
            <w:tcW w:w="1491"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培养路径</w:t>
            </w:r>
          </w:p>
        </w:tc>
        <w:tc>
          <w:tcPr>
            <w:tcW w:w="1243"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对应的KT点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如：1.2.1专业基础知识</w:t>
            </w:r>
          </w:p>
        </w:tc>
        <w:tc>
          <w:tcPr>
            <w:tcW w:w="1330" w:type="pct"/>
            <w:vAlign w:val="center"/>
          </w:tcPr>
          <w:p>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掌握数理逻辑、基本集合论、图论基础的基本概念和建模方法，并掌握其重要的工程应用实例。</w:t>
            </w:r>
          </w:p>
        </w:tc>
        <w:tc>
          <w:tcPr>
            <w:tcW w:w="1491" w:type="pct"/>
            <w:vAlign w:val="center"/>
          </w:tcPr>
          <w:p>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通过设计课前、课中、课后习题作业，有效促进学生对离散数学知识的了解、掌握、应用的递进培养，并通过引入具体的实际案例，唤起学生的学习兴趣和学习投入，做到知行合一。</w:t>
            </w:r>
          </w:p>
        </w:tc>
        <w:tc>
          <w:tcPr>
            <w:tcW w:w="1243" w:type="pct"/>
            <w:vAlign w:val="center"/>
          </w:tcPr>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1_命题与联结词</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2_谓词和量词</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3_逻辑等价</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4_推理规则</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5_证明方法</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6_逻辑的应用</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7_集合计算</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8_函数</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9_鸽巢原理</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10_容斥原理</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11_关系及其表示</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12_关系的性质</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13_关系的闭包</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14_等价关系</w:t>
            </w:r>
          </w:p>
          <w:p>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15_偏序关系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3.1.2建模</w:t>
            </w:r>
          </w:p>
        </w:tc>
        <w:tc>
          <w:tcPr>
            <w:tcW w:w="1330" w:type="pct"/>
            <w:vAlign w:val="center"/>
          </w:tcPr>
          <w:p>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能够在分析问题、解决问题过程中，对待求解问题的数学结构进行有效描述和表示，运用离散数学的方法来分析和解决问题。</w:t>
            </w:r>
          </w:p>
        </w:tc>
        <w:tc>
          <w:tcPr>
            <w:tcW w:w="1491" w:type="pct"/>
            <w:vAlign w:val="center"/>
          </w:tcPr>
          <w:p>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设计课堂提问及研讨问题，通过线上教学平台实施课堂互动，激发学生对问题的主动思考，增加学习兴趣，提高学习质量，从而加深对知识的理解，并培养批判性思维。</w:t>
            </w:r>
          </w:p>
        </w:tc>
        <w:tc>
          <w:tcPr>
            <w:tcW w:w="1243" w:type="pct"/>
            <w:vAlign w:val="center"/>
          </w:tcPr>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5_证明方法</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6_逻辑的应用</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9_鸽巢原理</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10_容斥原理</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13_关系的闭包</w:t>
            </w:r>
          </w:p>
          <w:p>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14_等价关系</w:t>
            </w:r>
          </w:p>
          <w:p>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15_偏序关系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pacing w:line="400" w:lineRule="exact"/>
              <w:jc w:val="center"/>
              <w:rPr>
                <w:rFonts w:hint="eastAsia" w:ascii="宋体" w:hAnsi="宋体" w:eastAsia="宋体" w:cs="宋体"/>
                <w:color w:val="auto"/>
                <w:sz w:val="24"/>
                <w:szCs w:val="24"/>
              </w:rPr>
            </w:pPr>
          </w:p>
        </w:tc>
        <w:tc>
          <w:tcPr>
            <w:tcW w:w="1330" w:type="pct"/>
            <w:vAlign w:val="center"/>
          </w:tcPr>
          <w:p>
            <w:pPr>
              <w:spacing w:line="400" w:lineRule="exact"/>
              <w:jc w:val="left"/>
              <w:rPr>
                <w:rFonts w:hint="eastAsia" w:ascii="宋体" w:hAnsi="宋体" w:eastAsia="宋体" w:cs="宋体"/>
                <w:color w:val="auto"/>
                <w:sz w:val="24"/>
                <w:szCs w:val="24"/>
              </w:rPr>
            </w:pPr>
          </w:p>
        </w:tc>
        <w:tc>
          <w:tcPr>
            <w:tcW w:w="1491" w:type="pct"/>
          </w:tcPr>
          <w:p>
            <w:pPr>
              <w:spacing w:line="400" w:lineRule="exact"/>
              <w:rPr>
                <w:rFonts w:hint="eastAsia" w:ascii="宋体" w:hAnsi="宋体" w:eastAsia="宋体" w:cs="宋体"/>
                <w:b/>
                <w:color w:val="auto"/>
                <w:sz w:val="24"/>
                <w:szCs w:val="24"/>
              </w:rPr>
            </w:pPr>
          </w:p>
        </w:tc>
        <w:tc>
          <w:tcPr>
            <w:tcW w:w="1243" w:type="pct"/>
          </w:tcPr>
          <w:p>
            <w:pPr>
              <w:spacing w:line="400" w:lineRule="exact"/>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pacing w:line="400" w:lineRule="exact"/>
              <w:jc w:val="center"/>
              <w:rPr>
                <w:rFonts w:hint="eastAsia" w:ascii="宋体" w:hAnsi="宋体" w:eastAsia="宋体" w:cs="宋体"/>
                <w:color w:val="auto"/>
                <w:sz w:val="24"/>
                <w:szCs w:val="24"/>
              </w:rPr>
            </w:pPr>
          </w:p>
        </w:tc>
        <w:tc>
          <w:tcPr>
            <w:tcW w:w="1330" w:type="pct"/>
            <w:vAlign w:val="center"/>
          </w:tcPr>
          <w:p>
            <w:pPr>
              <w:spacing w:line="400" w:lineRule="exact"/>
              <w:jc w:val="left"/>
              <w:rPr>
                <w:rFonts w:hint="eastAsia" w:ascii="宋体" w:hAnsi="宋体" w:eastAsia="宋体" w:cs="宋体"/>
                <w:color w:val="auto"/>
                <w:sz w:val="24"/>
                <w:szCs w:val="24"/>
              </w:rPr>
            </w:pPr>
          </w:p>
        </w:tc>
        <w:tc>
          <w:tcPr>
            <w:tcW w:w="1491" w:type="pct"/>
          </w:tcPr>
          <w:p>
            <w:pPr>
              <w:spacing w:line="400" w:lineRule="exact"/>
              <w:jc w:val="left"/>
              <w:rPr>
                <w:rFonts w:hint="eastAsia" w:ascii="宋体" w:hAnsi="宋体" w:eastAsia="宋体" w:cs="宋体"/>
                <w:color w:val="auto"/>
                <w:sz w:val="24"/>
                <w:szCs w:val="24"/>
              </w:rPr>
            </w:pPr>
          </w:p>
        </w:tc>
        <w:tc>
          <w:tcPr>
            <w:tcW w:w="1243" w:type="pct"/>
          </w:tcPr>
          <w:p>
            <w:pPr>
              <w:spacing w:line="4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pacing w:line="400" w:lineRule="exact"/>
              <w:jc w:val="center"/>
              <w:rPr>
                <w:rFonts w:hint="eastAsia" w:ascii="宋体" w:hAnsi="宋体" w:eastAsia="宋体" w:cs="宋体"/>
                <w:color w:val="auto"/>
                <w:sz w:val="24"/>
                <w:szCs w:val="24"/>
              </w:rPr>
            </w:pPr>
          </w:p>
        </w:tc>
        <w:tc>
          <w:tcPr>
            <w:tcW w:w="1330" w:type="pct"/>
            <w:vAlign w:val="center"/>
          </w:tcPr>
          <w:p>
            <w:pPr>
              <w:spacing w:line="400" w:lineRule="exact"/>
              <w:jc w:val="left"/>
              <w:rPr>
                <w:rFonts w:hint="eastAsia" w:ascii="宋体" w:hAnsi="宋体" w:eastAsia="宋体" w:cs="宋体"/>
                <w:color w:val="auto"/>
                <w:sz w:val="24"/>
                <w:szCs w:val="24"/>
              </w:rPr>
            </w:pPr>
          </w:p>
        </w:tc>
        <w:tc>
          <w:tcPr>
            <w:tcW w:w="1491" w:type="pct"/>
          </w:tcPr>
          <w:p>
            <w:pPr>
              <w:spacing w:line="400" w:lineRule="exact"/>
              <w:jc w:val="left"/>
              <w:rPr>
                <w:rFonts w:hint="eastAsia" w:ascii="宋体" w:hAnsi="宋体" w:eastAsia="宋体" w:cs="宋体"/>
                <w:color w:val="auto"/>
                <w:sz w:val="24"/>
                <w:szCs w:val="24"/>
              </w:rPr>
            </w:pPr>
          </w:p>
        </w:tc>
        <w:tc>
          <w:tcPr>
            <w:tcW w:w="1243" w:type="pct"/>
          </w:tcPr>
          <w:p>
            <w:pPr>
              <w:spacing w:line="400" w:lineRule="exact"/>
              <w:jc w:val="left"/>
              <w:rPr>
                <w:rFonts w:hint="eastAsia" w:ascii="宋体" w:hAnsi="宋体" w:eastAsia="宋体" w:cs="宋体"/>
                <w:color w:val="auto"/>
                <w:sz w:val="24"/>
                <w:szCs w:val="24"/>
              </w:rPr>
            </w:pPr>
          </w:p>
        </w:tc>
      </w:tr>
    </w:tbl>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四、教学内容与要求</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第一单元 ：×××</w:t>
      </w:r>
      <w:r>
        <w:rPr>
          <w:rFonts w:hint="default" w:ascii="Times New Roman" w:hAnsi="Times New Roman" w:eastAsia="宋体" w:cs="Times New Roman"/>
          <w:b/>
          <w:color w:val="FF0000"/>
          <w:sz w:val="24"/>
          <w:szCs w:val="28"/>
        </w:rPr>
        <w:t>（单元标题，如</w:t>
      </w:r>
      <w:r>
        <w:rPr>
          <w:rFonts w:hint="eastAsia"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rPr>
        <w:t>逻辑和证明</w:t>
      </w:r>
      <w:r>
        <w:rPr>
          <w:rFonts w:hint="eastAsia"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根据相关教学内容合理设置教学单元，不要求教学单元与教材章节一一对应。</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lang w:val="en-US" w:eastAsia="zh-CN"/>
        </w:rPr>
      </w:pPr>
      <w:r>
        <w:rPr>
          <w:rFonts w:hint="default" w:ascii="Times New Roman" w:hAnsi="Times New Roman" w:eastAsia="宋体" w:cs="Times New Roman"/>
          <w:b/>
          <w:sz w:val="24"/>
          <w:szCs w:val="28"/>
        </w:rPr>
        <w:t>1．教学内容</w:t>
      </w:r>
      <w:r>
        <w:rPr>
          <w:rFonts w:hint="eastAsia" w:ascii="Times New Roman" w:hAnsi="Times New Roman" w:eastAsia="宋体" w:cs="Times New Roman"/>
          <w:b/>
          <w:sz w:val="24"/>
          <w:szCs w:val="28"/>
          <w:lang w:val="en-US" w:eastAsia="zh-CN"/>
        </w:rPr>
        <w:t>与要求</w:t>
      </w:r>
    </w:p>
    <w:tbl>
      <w:tblPr>
        <w:tblStyle w:val="7"/>
        <w:tblpPr w:leftFromText="180" w:rightFromText="180" w:vertAnchor="text" w:horzAnchor="margin" w:tblpY="235"/>
        <w:tblW w:w="46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2779"/>
        <w:gridCol w:w="982"/>
        <w:gridCol w:w="81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知识点（群）与技能点（能力）</w:t>
            </w:r>
          </w:p>
        </w:tc>
        <w:tc>
          <w:tcPr>
            <w:tcW w:w="1418"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对应掌握程度</w:t>
            </w:r>
          </w:p>
        </w:tc>
        <w:tc>
          <w:tcPr>
            <w:tcW w:w="501"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是否重点</w:t>
            </w:r>
          </w:p>
        </w:tc>
        <w:tc>
          <w:tcPr>
            <w:tcW w:w="416"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难易程度</w:t>
            </w:r>
          </w:p>
        </w:tc>
        <w:tc>
          <w:tcPr>
            <w:tcW w:w="500"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如：KT1_命题与联结词</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易</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KT2_谓词和量词</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KT3_逻辑等价</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KT4_推理规则</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vAlign w:val="center"/>
          </w:tcPr>
          <w:p>
            <w:pPr>
              <w:spacing w:line="400" w:lineRule="exact"/>
              <w:jc w:val="center"/>
              <w:rPr>
                <w:rFonts w:hint="eastAsia" w:ascii="宋体" w:hAnsi="宋体" w:eastAsia="宋体" w:cs="宋体"/>
                <w:color w:val="auto"/>
                <w:sz w:val="24"/>
                <w:szCs w:val="24"/>
              </w:rPr>
            </w:pPr>
          </w:p>
        </w:tc>
        <w:tc>
          <w:tcPr>
            <w:tcW w:w="1418" w:type="pct"/>
            <w:vAlign w:val="center"/>
          </w:tcPr>
          <w:p>
            <w:pPr>
              <w:spacing w:line="400" w:lineRule="exact"/>
              <w:jc w:val="left"/>
              <w:rPr>
                <w:rFonts w:hint="eastAsia" w:ascii="宋体" w:hAnsi="宋体" w:eastAsia="宋体" w:cs="宋体"/>
                <w:color w:val="auto"/>
                <w:sz w:val="24"/>
                <w:szCs w:val="24"/>
              </w:rPr>
            </w:pPr>
          </w:p>
        </w:tc>
        <w:tc>
          <w:tcPr>
            <w:tcW w:w="501" w:type="pct"/>
          </w:tcPr>
          <w:p>
            <w:pPr>
              <w:spacing w:line="400" w:lineRule="exact"/>
              <w:jc w:val="left"/>
              <w:rPr>
                <w:rFonts w:hint="eastAsia" w:ascii="宋体" w:hAnsi="宋体" w:eastAsia="宋体" w:cs="宋体"/>
                <w:color w:val="auto"/>
                <w:sz w:val="24"/>
                <w:szCs w:val="24"/>
              </w:rPr>
            </w:pPr>
          </w:p>
        </w:tc>
        <w:tc>
          <w:tcPr>
            <w:tcW w:w="416" w:type="pct"/>
          </w:tcPr>
          <w:p>
            <w:pPr>
              <w:spacing w:line="400" w:lineRule="exact"/>
              <w:jc w:val="left"/>
              <w:rPr>
                <w:rFonts w:hint="eastAsia" w:ascii="宋体" w:hAnsi="宋体" w:eastAsia="宋体" w:cs="宋体"/>
                <w:color w:val="auto"/>
                <w:sz w:val="24"/>
                <w:szCs w:val="24"/>
              </w:rPr>
            </w:pPr>
          </w:p>
        </w:tc>
        <w:tc>
          <w:tcPr>
            <w:tcW w:w="500" w:type="pct"/>
          </w:tcPr>
          <w:p>
            <w:pPr>
              <w:spacing w:line="400" w:lineRule="exact"/>
              <w:jc w:val="left"/>
              <w:rPr>
                <w:rFonts w:hint="eastAsia" w:ascii="宋体" w:hAnsi="宋体" w:eastAsia="宋体" w:cs="宋体"/>
                <w:color w:val="auto"/>
                <w:sz w:val="24"/>
                <w:szCs w:val="24"/>
              </w:rPr>
            </w:pPr>
          </w:p>
        </w:tc>
      </w:tr>
    </w:tbl>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eastAsia" w:ascii="Times New Roman" w:hAnsi="Times New Roman" w:eastAsia="宋体" w:cs="Times New Roman"/>
          <w:b/>
          <w:sz w:val="24"/>
          <w:szCs w:val="28"/>
          <w:lang w:val="en-US" w:eastAsia="zh-CN"/>
        </w:rPr>
        <w:t>2</w:t>
      </w:r>
      <w:r>
        <w:rPr>
          <w:rFonts w:hint="default" w:ascii="Times New Roman" w:hAnsi="Times New Roman" w:eastAsia="宋体" w:cs="Times New Roman"/>
          <w:b/>
          <w:sz w:val="24"/>
          <w:szCs w:val="28"/>
        </w:rPr>
        <w:t>．教学实施建议</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8"/>
          <w:lang w:val="en-US" w:eastAsia="zh-CN"/>
        </w:rPr>
      </w:pPr>
      <w:r>
        <w:rPr>
          <w:rFonts w:hint="default" w:ascii="Times New Roman" w:hAnsi="Times New Roman" w:eastAsia="宋体" w:cs="Times New Roman"/>
          <w:sz w:val="24"/>
          <w:szCs w:val="28"/>
        </w:rPr>
        <w:t>应突出混合式教学模式，根据教学内容和学生认知规律选择合适的线上线下有机整合的课前/课中/课后的教学方法、教学手段，在重难点处搭建学习支架等。</w:t>
      </w:r>
      <w:r>
        <w:rPr>
          <w:rFonts w:hint="default" w:ascii="Times New Roman" w:hAnsi="Times New Roman" w:eastAsia="宋体" w:cs="Times New Roman"/>
          <w:color w:val="FF0000"/>
          <w:sz w:val="24"/>
          <w:szCs w:val="28"/>
          <w:lang w:val="en-US" w:eastAsia="zh-CN"/>
        </w:rPr>
        <w:t>如涉及课程思政内容，需要明确指出。</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b/>
          <w:sz w:val="24"/>
          <w:szCs w:val="28"/>
        </w:rPr>
        <w:t>第</w:t>
      </w:r>
      <w:r>
        <w:rPr>
          <w:rFonts w:hint="eastAsia" w:ascii="Times New Roman" w:hAnsi="Times New Roman" w:eastAsia="宋体" w:cs="Times New Roman"/>
          <w:b/>
          <w:sz w:val="24"/>
          <w:szCs w:val="28"/>
          <w:lang w:val="en-US" w:eastAsia="zh-CN"/>
        </w:rPr>
        <w:t>二</w:t>
      </w:r>
      <w:r>
        <w:rPr>
          <w:rFonts w:hint="default" w:ascii="Times New Roman" w:hAnsi="Times New Roman" w:eastAsia="宋体" w:cs="Times New Roman"/>
          <w:b/>
          <w:sz w:val="24"/>
          <w:szCs w:val="28"/>
        </w:rPr>
        <w:t>单元 ：×××</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lang w:val="en-US" w:eastAsia="zh-CN"/>
        </w:rPr>
      </w:pPr>
      <w:r>
        <w:rPr>
          <w:rFonts w:hint="default" w:ascii="Times New Roman" w:hAnsi="Times New Roman" w:eastAsia="宋体" w:cs="Times New Roman"/>
          <w:b/>
          <w:sz w:val="24"/>
          <w:szCs w:val="28"/>
        </w:rPr>
        <w:t>1．教学内容</w:t>
      </w:r>
      <w:r>
        <w:rPr>
          <w:rFonts w:hint="eastAsia" w:ascii="Times New Roman" w:hAnsi="Times New Roman" w:eastAsia="宋体" w:cs="Times New Roman"/>
          <w:b/>
          <w:sz w:val="24"/>
          <w:szCs w:val="28"/>
          <w:lang w:val="en-US" w:eastAsia="zh-CN"/>
        </w:rPr>
        <w:t>与要求</w:t>
      </w:r>
    </w:p>
    <w:tbl>
      <w:tblPr>
        <w:tblStyle w:val="7"/>
        <w:tblpPr w:leftFromText="180" w:rightFromText="180" w:vertAnchor="text" w:horzAnchor="margin" w:tblpY="235"/>
        <w:tblW w:w="46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2779"/>
        <w:gridCol w:w="982"/>
        <w:gridCol w:w="81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知识点（群）与技能点（能力）</w:t>
            </w:r>
          </w:p>
        </w:tc>
        <w:tc>
          <w:tcPr>
            <w:tcW w:w="1418"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对应掌握程度</w:t>
            </w:r>
          </w:p>
        </w:tc>
        <w:tc>
          <w:tcPr>
            <w:tcW w:w="501"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是否重点</w:t>
            </w:r>
          </w:p>
        </w:tc>
        <w:tc>
          <w:tcPr>
            <w:tcW w:w="416"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难易程度</w:t>
            </w:r>
          </w:p>
        </w:tc>
        <w:tc>
          <w:tcPr>
            <w:tcW w:w="500" w:type="pct"/>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如：KT1_命题与联结词</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易</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KT2_谓词和量词</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KT3_逻辑等价</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KT4_推理规则</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vAlign w:val="center"/>
          </w:tcPr>
          <w:p>
            <w:pPr>
              <w:spacing w:line="400" w:lineRule="exact"/>
              <w:jc w:val="center"/>
              <w:rPr>
                <w:rFonts w:hint="eastAsia" w:ascii="宋体" w:hAnsi="宋体" w:eastAsia="宋体" w:cs="宋体"/>
                <w:color w:val="auto"/>
                <w:sz w:val="24"/>
                <w:szCs w:val="24"/>
              </w:rPr>
            </w:pPr>
          </w:p>
        </w:tc>
        <w:tc>
          <w:tcPr>
            <w:tcW w:w="1418" w:type="pct"/>
            <w:vAlign w:val="center"/>
          </w:tcPr>
          <w:p>
            <w:pPr>
              <w:spacing w:line="400" w:lineRule="exact"/>
              <w:jc w:val="left"/>
              <w:rPr>
                <w:rFonts w:hint="eastAsia" w:ascii="宋体" w:hAnsi="宋体" w:eastAsia="宋体" w:cs="宋体"/>
                <w:color w:val="auto"/>
                <w:sz w:val="24"/>
                <w:szCs w:val="24"/>
              </w:rPr>
            </w:pPr>
          </w:p>
        </w:tc>
        <w:tc>
          <w:tcPr>
            <w:tcW w:w="501" w:type="pct"/>
          </w:tcPr>
          <w:p>
            <w:pPr>
              <w:spacing w:line="400" w:lineRule="exact"/>
              <w:jc w:val="left"/>
              <w:rPr>
                <w:rFonts w:hint="eastAsia" w:ascii="宋体" w:hAnsi="宋体" w:eastAsia="宋体" w:cs="宋体"/>
                <w:color w:val="auto"/>
                <w:sz w:val="24"/>
                <w:szCs w:val="24"/>
              </w:rPr>
            </w:pPr>
          </w:p>
        </w:tc>
        <w:tc>
          <w:tcPr>
            <w:tcW w:w="416" w:type="pct"/>
          </w:tcPr>
          <w:p>
            <w:pPr>
              <w:spacing w:line="400" w:lineRule="exact"/>
              <w:jc w:val="left"/>
              <w:rPr>
                <w:rFonts w:hint="eastAsia" w:ascii="宋体" w:hAnsi="宋体" w:eastAsia="宋体" w:cs="宋体"/>
                <w:color w:val="auto"/>
                <w:sz w:val="24"/>
                <w:szCs w:val="24"/>
              </w:rPr>
            </w:pPr>
          </w:p>
        </w:tc>
        <w:tc>
          <w:tcPr>
            <w:tcW w:w="500" w:type="pct"/>
          </w:tcPr>
          <w:p>
            <w:pPr>
              <w:spacing w:line="400" w:lineRule="exact"/>
              <w:jc w:val="left"/>
              <w:rPr>
                <w:rFonts w:hint="eastAsia" w:ascii="宋体" w:hAnsi="宋体" w:eastAsia="宋体" w:cs="宋体"/>
                <w:color w:val="auto"/>
                <w:sz w:val="24"/>
                <w:szCs w:val="24"/>
              </w:rPr>
            </w:pPr>
          </w:p>
        </w:tc>
      </w:tr>
    </w:tbl>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color w:val="FF0000"/>
          <w:sz w:val="24"/>
          <w:szCs w:val="28"/>
          <w:lang w:val="en-US" w:eastAsia="zh-CN"/>
        </w:rPr>
      </w:pPr>
      <w:r>
        <w:rPr>
          <w:rFonts w:hint="eastAsia" w:ascii="Times New Roman" w:hAnsi="Times New Roman" w:eastAsia="宋体" w:cs="Times New Roman"/>
          <w:b/>
          <w:sz w:val="24"/>
          <w:szCs w:val="28"/>
          <w:lang w:val="en-US" w:eastAsia="zh-CN"/>
        </w:rPr>
        <w:t>2</w:t>
      </w:r>
      <w:r>
        <w:rPr>
          <w:rFonts w:hint="default" w:ascii="Times New Roman" w:hAnsi="Times New Roman" w:eastAsia="宋体" w:cs="Times New Roman"/>
          <w:b/>
          <w:sz w:val="24"/>
          <w:szCs w:val="28"/>
        </w:rPr>
        <w:t>．教学实施建议</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五、各单元学时分配表</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90"/>
        <w:gridCol w:w="2387"/>
        <w:gridCol w:w="592"/>
        <w:gridCol w:w="889"/>
        <w:gridCol w:w="2087"/>
        <w:gridCol w:w="1341"/>
        <w:gridCol w:w="458"/>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54" w:type="pct"/>
            <w:shd w:val="clear" w:color="auto" w:fill="auto"/>
            <w:vAlign w:val="center"/>
          </w:tcPr>
          <w:p>
            <w:pPr>
              <w:widowControl/>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单元编号</w:t>
            </w:r>
          </w:p>
        </w:tc>
        <w:tc>
          <w:tcPr>
            <w:tcW w:w="715" w:type="pct"/>
            <w:shd w:val="clear" w:color="auto" w:fill="auto"/>
            <w:vAlign w:val="center"/>
          </w:tcPr>
          <w:p>
            <w:pPr>
              <w:widowControl/>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单元标题</w:t>
            </w:r>
          </w:p>
        </w:tc>
        <w:tc>
          <w:tcPr>
            <w:tcW w:w="1144" w:type="pct"/>
            <w:shd w:val="clear" w:color="auto" w:fill="auto"/>
            <w:vAlign w:val="center"/>
          </w:tcPr>
          <w:p>
            <w:pPr>
              <w:widowControl/>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知识点（群）/技能点（能力）</w:t>
            </w:r>
          </w:p>
        </w:tc>
        <w:tc>
          <w:tcPr>
            <w:tcW w:w="285" w:type="pct"/>
            <w:shd w:val="clear" w:color="auto" w:fill="auto"/>
            <w:vAlign w:val="center"/>
          </w:tcPr>
          <w:p>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学时</w:t>
            </w:r>
          </w:p>
        </w:tc>
        <w:tc>
          <w:tcPr>
            <w:tcW w:w="427" w:type="pct"/>
            <w:shd w:val="clear" w:color="auto" w:fill="auto"/>
            <w:vAlign w:val="center"/>
          </w:tcPr>
          <w:p>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理论/实践</w:t>
            </w:r>
          </w:p>
        </w:tc>
        <w:tc>
          <w:tcPr>
            <w:tcW w:w="1000" w:type="pct"/>
            <w:shd w:val="clear" w:color="auto" w:fill="auto"/>
            <w:vAlign w:val="center"/>
          </w:tcPr>
          <w:p>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主要类型</w:t>
            </w:r>
          </w:p>
          <w:p>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2"/>
                <w:szCs w:val="24"/>
              </w:rPr>
              <w:t>（理论：讲课/习题/测验/其他；实践：随堂实践/实验室实验/其他）</w:t>
            </w:r>
          </w:p>
        </w:tc>
        <w:tc>
          <w:tcPr>
            <w:tcW w:w="643" w:type="pct"/>
            <w:shd w:val="clear" w:color="auto" w:fill="auto"/>
            <w:vAlign w:val="center"/>
          </w:tcPr>
          <w:p>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课内线上自主学习时长（学时）</w:t>
            </w:r>
          </w:p>
        </w:tc>
        <w:tc>
          <w:tcPr>
            <w:tcW w:w="214" w:type="pct"/>
            <w:shd w:val="clear" w:color="auto" w:fill="auto"/>
            <w:vAlign w:val="center"/>
          </w:tcPr>
          <w:p>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周次</w:t>
            </w:r>
          </w:p>
        </w:tc>
        <w:tc>
          <w:tcPr>
            <w:tcW w:w="215" w:type="pct"/>
            <w:shd w:val="clear" w:color="auto" w:fill="auto"/>
            <w:vAlign w:val="center"/>
          </w:tcPr>
          <w:p>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课次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Merge w:val="restart"/>
            <w:shd w:val="clear" w:color="auto" w:fill="auto"/>
            <w:vAlign w:val="center"/>
          </w:tcPr>
          <w:p>
            <w:pPr>
              <w:widowControl/>
              <w:spacing w:line="300" w:lineRule="auto"/>
              <w:jc w:val="center"/>
              <w:rPr>
                <w:rFonts w:hint="eastAsia" w:ascii="宋体" w:hAnsi="宋体" w:eastAsia="宋体" w:cs="宋体"/>
                <w:color w:val="0000FF"/>
                <w:kern w:val="0"/>
                <w:sz w:val="24"/>
                <w:szCs w:val="28"/>
              </w:rPr>
            </w:pPr>
            <w:r>
              <w:rPr>
                <w:rFonts w:hint="eastAsia" w:ascii="宋体" w:hAnsi="宋体" w:eastAsia="宋体" w:cs="宋体"/>
                <w:color w:val="0000FF"/>
                <w:kern w:val="0"/>
                <w:sz w:val="24"/>
                <w:szCs w:val="28"/>
              </w:rPr>
              <w:t>1</w:t>
            </w:r>
          </w:p>
        </w:tc>
        <w:tc>
          <w:tcPr>
            <w:tcW w:w="715" w:type="pct"/>
            <w:vMerge w:val="restart"/>
            <w:shd w:val="clear" w:color="auto" w:fill="auto"/>
            <w:vAlign w:val="center"/>
          </w:tcPr>
          <w:p>
            <w:pPr>
              <w:widowControl/>
              <w:spacing w:line="300" w:lineRule="auto"/>
              <w:jc w:val="left"/>
              <w:rPr>
                <w:rFonts w:hint="eastAsia" w:ascii="宋体" w:hAnsi="宋体" w:eastAsia="宋体" w:cs="宋体"/>
                <w:color w:val="0000FF"/>
                <w:kern w:val="0"/>
                <w:sz w:val="24"/>
                <w:szCs w:val="28"/>
              </w:rPr>
            </w:pPr>
            <w:r>
              <w:rPr>
                <w:rFonts w:hint="eastAsia" w:ascii="宋体" w:hAnsi="宋体" w:eastAsia="宋体" w:cs="宋体"/>
                <w:color w:val="0000FF"/>
                <w:kern w:val="0"/>
                <w:sz w:val="24"/>
                <w:szCs w:val="24"/>
                <w:lang w:bidi="ar"/>
              </w:rPr>
              <w:t>如：</w:t>
            </w:r>
            <w:r>
              <w:rPr>
                <w:rFonts w:hint="eastAsia" w:ascii="宋体" w:hAnsi="宋体" w:eastAsia="宋体" w:cs="宋体"/>
                <w:color w:val="0000FF"/>
                <w:kern w:val="0"/>
                <w:sz w:val="24"/>
                <w:szCs w:val="28"/>
              </w:rPr>
              <w:t>第一单元：逻辑和证明</w:t>
            </w:r>
          </w:p>
        </w:tc>
        <w:tc>
          <w:tcPr>
            <w:tcW w:w="1144"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KT1_命题与联结词</w:t>
            </w:r>
          </w:p>
        </w:tc>
        <w:tc>
          <w:tcPr>
            <w:tcW w:w="285"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427" w:type="pc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理论</w:t>
            </w:r>
          </w:p>
        </w:tc>
        <w:tc>
          <w:tcPr>
            <w:tcW w:w="1000"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讲课</w:t>
            </w:r>
          </w:p>
        </w:tc>
        <w:tc>
          <w:tcPr>
            <w:tcW w:w="643"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0.5</w:t>
            </w:r>
          </w:p>
        </w:tc>
        <w:tc>
          <w:tcPr>
            <w:tcW w:w="214"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c>
          <w:tcPr>
            <w:tcW w:w="215"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4" w:type="pct"/>
            <w:vMerge w:val="continue"/>
            <w:vAlign w:val="center"/>
          </w:tcPr>
          <w:p>
            <w:pPr>
              <w:widowControl/>
              <w:spacing w:line="300" w:lineRule="auto"/>
              <w:jc w:val="center"/>
              <w:rPr>
                <w:rFonts w:hint="eastAsia" w:ascii="宋体" w:hAnsi="宋体" w:eastAsia="宋体" w:cs="宋体"/>
                <w:color w:val="0000FF"/>
                <w:kern w:val="0"/>
                <w:sz w:val="24"/>
                <w:szCs w:val="28"/>
              </w:rPr>
            </w:pPr>
          </w:p>
        </w:tc>
        <w:tc>
          <w:tcPr>
            <w:tcW w:w="715" w:type="pct"/>
            <w:vMerge w:val="continue"/>
            <w:shd w:val="clear" w:color="auto" w:fill="auto"/>
            <w:vAlign w:val="center"/>
          </w:tcPr>
          <w:p>
            <w:pPr>
              <w:widowControl/>
              <w:spacing w:line="300" w:lineRule="auto"/>
              <w:jc w:val="left"/>
              <w:rPr>
                <w:rFonts w:hint="eastAsia" w:ascii="宋体" w:hAnsi="宋体" w:eastAsia="宋体" w:cs="宋体"/>
                <w:color w:val="0000FF"/>
                <w:kern w:val="0"/>
                <w:sz w:val="24"/>
                <w:szCs w:val="28"/>
              </w:rPr>
            </w:pPr>
          </w:p>
        </w:tc>
        <w:tc>
          <w:tcPr>
            <w:tcW w:w="1144" w:type="pc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KT1_命题与联结词</w:t>
            </w:r>
          </w:p>
        </w:tc>
        <w:tc>
          <w:tcPr>
            <w:tcW w:w="285" w:type="pct"/>
            <w:vMerge w:val="restar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427" w:type="pct"/>
            <w:vMerge w:val="restar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理论</w:t>
            </w:r>
          </w:p>
        </w:tc>
        <w:tc>
          <w:tcPr>
            <w:tcW w:w="1000" w:type="pct"/>
            <w:vMerge w:val="restar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讲课</w:t>
            </w:r>
          </w:p>
        </w:tc>
        <w:tc>
          <w:tcPr>
            <w:tcW w:w="643" w:type="pct"/>
            <w:vMerge w:val="restar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0.5</w:t>
            </w:r>
          </w:p>
        </w:tc>
        <w:tc>
          <w:tcPr>
            <w:tcW w:w="214" w:type="pct"/>
            <w:vMerge w:val="restar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c>
          <w:tcPr>
            <w:tcW w:w="215" w:type="pct"/>
            <w:vMerge w:val="restar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54" w:type="pct"/>
            <w:vMerge w:val="continue"/>
            <w:vAlign w:val="center"/>
          </w:tcPr>
          <w:p>
            <w:pPr>
              <w:spacing w:line="300" w:lineRule="auto"/>
              <w:rPr>
                <w:rFonts w:hint="eastAsia" w:ascii="宋体" w:hAnsi="宋体" w:eastAsia="宋体" w:cs="宋体"/>
                <w:color w:val="0000FF"/>
                <w:kern w:val="0"/>
                <w:sz w:val="24"/>
                <w:szCs w:val="28"/>
              </w:rPr>
            </w:pPr>
          </w:p>
        </w:tc>
        <w:tc>
          <w:tcPr>
            <w:tcW w:w="715" w:type="pct"/>
            <w:vMerge w:val="continue"/>
            <w:shd w:val="clear" w:color="auto" w:fill="auto"/>
            <w:vAlign w:val="center"/>
          </w:tcPr>
          <w:p>
            <w:pPr>
              <w:spacing w:line="300" w:lineRule="auto"/>
              <w:jc w:val="left"/>
              <w:rPr>
                <w:rFonts w:hint="eastAsia" w:ascii="宋体" w:hAnsi="宋体" w:eastAsia="宋体" w:cs="宋体"/>
                <w:color w:val="0000FF"/>
                <w:kern w:val="0"/>
                <w:sz w:val="24"/>
                <w:szCs w:val="28"/>
              </w:rPr>
            </w:pPr>
          </w:p>
        </w:tc>
        <w:tc>
          <w:tcPr>
            <w:tcW w:w="1144" w:type="pc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KT6_逻辑的应用</w:t>
            </w:r>
          </w:p>
        </w:tc>
        <w:tc>
          <w:tcPr>
            <w:tcW w:w="285" w:type="pct"/>
            <w:vMerge w:val="continue"/>
            <w:shd w:val="clear" w:color="auto" w:fill="auto"/>
            <w:vAlign w:val="center"/>
          </w:tcPr>
          <w:p>
            <w:pPr>
              <w:widowControl/>
              <w:spacing w:line="300" w:lineRule="auto"/>
              <w:jc w:val="center"/>
              <w:rPr>
                <w:rFonts w:hint="eastAsia" w:ascii="宋体" w:hAnsi="宋体" w:eastAsia="宋体" w:cs="宋体"/>
                <w:color w:val="0000FF"/>
                <w:kern w:val="0"/>
                <w:sz w:val="24"/>
                <w:szCs w:val="24"/>
              </w:rPr>
            </w:pPr>
          </w:p>
        </w:tc>
        <w:tc>
          <w:tcPr>
            <w:tcW w:w="427" w:type="pct"/>
            <w:vMerge w:val="continue"/>
            <w:vAlign w:val="center"/>
          </w:tcPr>
          <w:p>
            <w:pPr>
              <w:widowControl/>
              <w:spacing w:line="300" w:lineRule="auto"/>
              <w:jc w:val="center"/>
              <w:rPr>
                <w:rFonts w:hint="eastAsia" w:ascii="宋体" w:hAnsi="宋体" w:eastAsia="宋体" w:cs="宋体"/>
                <w:color w:val="0000FF"/>
                <w:kern w:val="0"/>
                <w:sz w:val="24"/>
                <w:szCs w:val="24"/>
              </w:rPr>
            </w:pPr>
          </w:p>
        </w:tc>
        <w:tc>
          <w:tcPr>
            <w:tcW w:w="1000" w:type="pct"/>
            <w:vMerge w:val="continue"/>
            <w:shd w:val="clear" w:color="auto" w:fill="auto"/>
            <w:vAlign w:val="center"/>
          </w:tcPr>
          <w:p>
            <w:pPr>
              <w:widowControl/>
              <w:spacing w:line="300" w:lineRule="auto"/>
              <w:jc w:val="center"/>
              <w:rPr>
                <w:rFonts w:hint="eastAsia" w:ascii="宋体" w:hAnsi="宋体" w:eastAsia="宋体" w:cs="宋体"/>
                <w:color w:val="0000FF"/>
                <w:kern w:val="0"/>
                <w:sz w:val="24"/>
                <w:szCs w:val="24"/>
              </w:rPr>
            </w:pPr>
          </w:p>
        </w:tc>
        <w:tc>
          <w:tcPr>
            <w:tcW w:w="643" w:type="pct"/>
            <w:vMerge w:val="continue"/>
            <w:vAlign w:val="center"/>
          </w:tcPr>
          <w:p>
            <w:pPr>
              <w:widowControl/>
              <w:spacing w:line="300" w:lineRule="auto"/>
              <w:jc w:val="center"/>
              <w:rPr>
                <w:rFonts w:hint="eastAsia" w:ascii="宋体" w:hAnsi="宋体" w:eastAsia="宋体" w:cs="宋体"/>
                <w:color w:val="0000FF"/>
                <w:kern w:val="0"/>
                <w:sz w:val="24"/>
                <w:szCs w:val="24"/>
              </w:rPr>
            </w:pPr>
          </w:p>
        </w:tc>
        <w:tc>
          <w:tcPr>
            <w:tcW w:w="214" w:type="pct"/>
            <w:vMerge w:val="continue"/>
            <w:shd w:val="clear" w:color="auto" w:fill="auto"/>
            <w:vAlign w:val="center"/>
          </w:tcPr>
          <w:p>
            <w:pPr>
              <w:widowControl/>
              <w:spacing w:line="300" w:lineRule="auto"/>
              <w:jc w:val="center"/>
              <w:rPr>
                <w:rFonts w:hint="eastAsia" w:ascii="宋体" w:hAnsi="宋体" w:eastAsia="宋体" w:cs="宋体"/>
                <w:color w:val="0000FF"/>
                <w:kern w:val="0"/>
                <w:sz w:val="24"/>
                <w:szCs w:val="24"/>
              </w:rPr>
            </w:pPr>
          </w:p>
        </w:tc>
        <w:tc>
          <w:tcPr>
            <w:tcW w:w="215" w:type="pct"/>
            <w:vMerge w:val="continue"/>
            <w:shd w:val="clear" w:color="auto" w:fill="auto"/>
            <w:vAlign w:val="center"/>
          </w:tcPr>
          <w:p>
            <w:pPr>
              <w:widowControl/>
              <w:spacing w:line="300" w:lineRule="auto"/>
              <w:jc w:val="center"/>
              <w:rPr>
                <w:rFonts w:hint="eastAsia" w:ascii="宋体" w:hAnsi="宋体" w:eastAsia="宋体" w:cs="宋体"/>
                <w:color w:val="0000F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54" w:type="pct"/>
            <w:vMerge w:val="continue"/>
            <w:vAlign w:val="center"/>
          </w:tcPr>
          <w:p>
            <w:pPr>
              <w:spacing w:line="300" w:lineRule="auto"/>
              <w:jc w:val="center"/>
              <w:rPr>
                <w:rFonts w:hint="eastAsia" w:ascii="宋体" w:hAnsi="宋体" w:eastAsia="宋体" w:cs="宋体"/>
                <w:color w:val="0000FF"/>
                <w:kern w:val="0"/>
                <w:sz w:val="24"/>
                <w:szCs w:val="28"/>
              </w:rPr>
            </w:pPr>
          </w:p>
        </w:tc>
        <w:tc>
          <w:tcPr>
            <w:tcW w:w="715" w:type="pct"/>
            <w:vMerge w:val="continue"/>
            <w:shd w:val="clear" w:color="auto" w:fill="auto"/>
            <w:vAlign w:val="center"/>
          </w:tcPr>
          <w:p>
            <w:pPr>
              <w:spacing w:line="300" w:lineRule="auto"/>
              <w:jc w:val="left"/>
              <w:rPr>
                <w:rFonts w:hint="eastAsia" w:ascii="宋体" w:hAnsi="宋体" w:eastAsia="宋体" w:cs="宋体"/>
                <w:color w:val="0000FF"/>
                <w:kern w:val="0"/>
                <w:sz w:val="24"/>
                <w:szCs w:val="28"/>
              </w:rPr>
            </w:pPr>
          </w:p>
        </w:tc>
        <w:tc>
          <w:tcPr>
            <w:tcW w:w="1144" w:type="pc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KT3_逻辑等价</w:t>
            </w:r>
          </w:p>
        </w:tc>
        <w:tc>
          <w:tcPr>
            <w:tcW w:w="285"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427" w:type="pc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理论</w:t>
            </w:r>
          </w:p>
        </w:tc>
        <w:tc>
          <w:tcPr>
            <w:tcW w:w="1000"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讲课</w:t>
            </w:r>
          </w:p>
        </w:tc>
        <w:tc>
          <w:tcPr>
            <w:tcW w:w="643" w:type="pc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c>
          <w:tcPr>
            <w:tcW w:w="214"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215"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4" w:type="pct"/>
            <w:vMerge w:val="continue"/>
            <w:vAlign w:val="center"/>
          </w:tcPr>
          <w:p>
            <w:pPr>
              <w:widowControl/>
              <w:spacing w:line="300" w:lineRule="auto"/>
              <w:jc w:val="center"/>
              <w:rPr>
                <w:rFonts w:hint="eastAsia" w:ascii="宋体" w:hAnsi="宋体" w:eastAsia="宋体" w:cs="宋体"/>
                <w:color w:val="0000FF"/>
                <w:kern w:val="0"/>
                <w:sz w:val="24"/>
                <w:szCs w:val="28"/>
              </w:rPr>
            </w:pPr>
          </w:p>
        </w:tc>
        <w:tc>
          <w:tcPr>
            <w:tcW w:w="715" w:type="pct"/>
            <w:vMerge w:val="continue"/>
            <w:vAlign w:val="center"/>
          </w:tcPr>
          <w:p>
            <w:pPr>
              <w:widowControl/>
              <w:spacing w:line="300" w:lineRule="auto"/>
              <w:jc w:val="center"/>
              <w:rPr>
                <w:rFonts w:hint="eastAsia" w:ascii="宋体" w:hAnsi="宋体" w:eastAsia="宋体" w:cs="宋体"/>
                <w:color w:val="0000FF"/>
                <w:kern w:val="0"/>
                <w:sz w:val="24"/>
                <w:szCs w:val="28"/>
              </w:rPr>
            </w:pPr>
          </w:p>
        </w:tc>
        <w:tc>
          <w:tcPr>
            <w:tcW w:w="1144" w:type="pc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KT4_推理规则</w:t>
            </w:r>
          </w:p>
        </w:tc>
        <w:tc>
          <w:tcPr>
            <w:tcW w:w="285"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427" w:type="pc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理论</w:t>
            </w:r>
          </w:p>
        </w:tc>
        <w:tc>
          <w:tcPr>
            <w:tcW w:w="1000"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讲课</w:t>
            </w:r>
          </w:p>
        </w:tc>
        <w:tc>
          <w:tcPr>
            <w:tcW w:w="643" w:type="pct"/>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c>
          <w:tcPr>
            <w:tcW w:w="214"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215" w:type="pct"/>
            <w:shd w:val="clear" w:color="auto" w:fill="auto"/>
            <w:vAlign w:val="center"/>
          </w:tcPr>
          <w:p>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4" w:type="pct"/>
            <w:vAlign w:val="center"/>
          </w:tcPr>
          <w:p>
            <w:pPr>
              <w:widowControl/>
              <w:spacing w:line="300" w:lineRule="auto"/>
              <w:jc w:val="center"/>
              <w:rPr>
                <w:rFonts w:hint="eastAsia" w:ascii="宋体" w:hAnsi="宋体" w:eastAsia="宋体" w:cs="宋体"/>
                <w:color w:val="auto"/>
                <w:kern w:val="0"/>
                <w:sz w:val="24"/>
                <w:szCs w:val="28"/>
              </w:rPr>
            </w:pPr>
          </w:p>
        </w:tc>
        <w:tc>
          <w:tcPr>
            <w:tcW w:w="715" w:type="pct"/>
            <w:vAlign w:val="center"/>
          </w:tcPr>
          <w:p>
            <w:pPr>
              <w:widowControl/>
              <w:spacing w:line="300" w:lineRule="auto"/>
              <w:jc w:val="center"/>
              <w:rPr>
                <w:rFonts w:hint="eastAsia" w:ascii="宋体" w:hAnsi="宋体" w:eastAsia="宋体" w:cs="宋体"/>
                <w:color w:val="auto"/>
                <w:kern w:val="0"/>
                <w:sz w:val="24"/>
                <w:szCs w:val="28"/>
              </w:rPr>
            </w:pPr>
          </w:p>
        </w:tc>
        <w:tc>
          <w:tcPr>
            <w:tcW w:w="1144" w:type="pct"/>
            <w:vAlign w:val="center"/>
          </w:tcPr>
          <w:p>
            <w:pPr>
              <w:widowControl/>
              <w:spacing w:line="300" w:lineRule="auto"/>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p>
        </w:tc>
        <w:tc>
          <w:tcPr>
            <w:tcW w:w="285"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c>
          <w:tcPr>
            <w:tcW w:w="427" w:type="pct"/>
            <w:vAlign w:val="center"/>
          </w:tcPr>
          <w:p>
            <w:pPr>
              <w:widowControl/>
              <w:spacing w:line="300" w:lineRule="auto"/>
              <w:jc w:val="center"/>
              <w:rPr>
                <w:rFonts w:hint="eastAsia" w:ascii="宋体" w:hAnsi="宋体" w:eastAsia="宋体" w:cs="宋体"/>
                <w:color w:val="auto"/>
                <w:kern w:val="0"/>
                <w:sz w:val="24"/>
                <w:szCs w:val="24"/>
                <w:lang w:bidi="ar"/>
              </w:rPr>
            </w:pPr>
          </w:p>
        </w:tc>
        <w:tc>
          <w:tcPr>
            <w:tcW w:w="1000"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c>
          <w:tcPr>
            <w:tcW w:w="643" w:type="pct"/>
            <w:vAlign w:val="center"/>
          </w:tcPr>
          <w:p>
            <w:pPr>
              <w:widowControl/>
              <w:spacing w:line="300" w:lineRule="auto"/>
              <w:jc w:val="center"/>
              <w:rPr>
                <w:rFonts w:hint="eastAsia" w:ascii="宋体" w:hAnsi="宋体" w:eastAsia="宋体" w:cs="宋体"/>
                <w:color w:val="auto"/>
                <w:kern w:val="0"/>
                <w:sz w:val="24"/>
                <w:szCs w:val="24"/>
                <w:lang w:bidi="ar"/>
              </w:rPr>
            </w:pPr>
          </w:p>
        </w:tc>
        <w:tc>
          <w:tcPr>
            <w:tcW w:w="214"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c>
          <w:tcPr>
            <w:tcW w:w="215"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54" w:type="pct"/>
            <w:vAlign w:val="center"/>
          </w:tcPr>
          <w:p>
            <w:pPr>
              <w:widowControl/>
              <w:spacing w:line="300" w:lineRule="auto"/>
              <w:jc w:val="center"/>
              <w:rPr>
                <w:rFonts w:hint="eastAsia" w:ascii="宋体" w:hAnsi="宋体" w:eastAsia="宋体" w:cs="宋体"/>
                <w:color w:val="auto"/>
                <w:kern w:val="0"/>
                <w:sz w:val="24"/>
                <w:szCs w:val="28"/>
              </w:rPr>
            </w:pPr>
          </w:p>
        </w:tc>
        <w:tc>
          <w:tcPr>
            <w:tcW w:w="715" w:type="pct"/>
            <w:vAlign w:val="center"/>
          </w:tcPr>
          <w:p>
            <w:pPr>
              <w:widowControl/>
              <w:spacing w:line="300" w:lineRule="auto"/>
              <w:jc w:val="center"/>
              <w:rPr>
                <w:rFonts w:hint="eastAsia" w:ascii="宋体" w:hAnsi="宋体" w:eastAsia="宋体" w:cs="宋体"/>
                <w:color w:val="auto"/>
                <w:kern w:val="0"/>
                <w:sz w:val="24"/>
                <w:szCs w:val="28"/>
              </w:rPr>
            </w:pPr>
          </w:p>
        </w:tc>
        <w:tc>
          <w:tcPr>
            <w:tcW w:w="1144" w:type="pct"/>
            <w:vAlign w:val="center"/>
          </w:tcPr>
          <w:p>
            <w:pPr>
              <w:widowControl/>
              <w:spacing w:line="300" w:lineRule="auto"/>
              <w:jc w:val="center"/>
              <w:rPr>
                <w:rFonts w:hint="eastAsia" w:ascii="宋体" w:hAnsi="宋体" w:eastAsia="宋体" w:cs="宋体"/>
                <w:color w:val="auto"/>
                <w:kern w:val="0"/>
                <w:sz w:val="24"/>
                <w:szCs w:val="24"/>
                <w:lang w:bidi="ar"/>
              </w:rPr>
            </w:pPr>
          </w:p>
        </w:tc>
        <w:tc>
          <w:tcPr>
            <w:tcW w:w="285"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c>
          <w:tcPr>
            <w:tcW w:w="427" w:type="pct"/>
            <w:vAlign w:val="center"/>
          </w:tcPr>
          <w:p>
            <w:pPr>
              <w:widowControl/>
              <w:spacing w:line="300" w:lineRule="auto"/>
              <w:jc w:val="center"/>
              <w:rPr>
                <w:rFonts w:hint="eastAsia" w:ascii="宋体" w:hAnsi="宋体" w:eastAsia="宋体" w:cs="宋体"/>
                <w:color w:val="auto"/>
                <w:kern w:val="0"/>
                <w:sz w:val="24"/>
                <w:szCs w:val="24"/>
                <w:lang w:bidi="ar"/>
              </w:rPr>
            </w:pPr>
          </w:p>
        </w:tc>
        <w:tc>
          <w:tcPr>
            <w:tcW w:w="1000"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c>
          <w:tcPr>
            <w:tcW w:w="643" w:type="pct"/>
            <w:vAlign w:val="center"/>
          </w:tcPr>
          <w:p>
            <w:pPr>
              <w:widowControl/>
              <w:spacing w:line="300" w:lineRule="auto"/>
              <w:jc w:val="center"/>
              <w:rPr>
                <w:rFonts w:hint="eastAsia" w:ascii="宋体" w:hAnsi="宋体" w:eastAsia="宋体" w:cs="宋体"/>
                <w:color w:val="auto"/>
                <w:kern w:val="0"/>
                <w:sz w:val="24"/>
                <w:szCs w:val="24"/>
                <w:lang w:bidi="ar"/>
              </w:rPr>
            </w:pPr>
          </w:p>
        </w:tc>
        <w:tc>
          <w:tcPr>
            <w:tcW w:w="214"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c>
          <w:tcPr>
            <w:tcW w:w="215"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4" w:type="pct"/>
            <w:vAlign w:val="center"/>
          </w:tcPr>
          <w:p>
            <w:pPr>
              <w:widowControl/>
              <w:spacing w:line="300" w:lineRule="auto"/>
              <w:jc w:val="center"/>
              <w:rPr>
                <w:rFonts w:hint="eastAsia" w:ascii="宋体" w:hAnsi="宋体" w:eastAsia="宋体" w:cs="宋体"/>
                <w:color w:val="auto"/>
                <w:kern w:val="0"/>
                <w:sz w:val="24"/>
                <w:szCs w:val="28"/>
              </w:rPr>
            </w:pPr>
          </w:p>
        </w:tc>
        <w:tc>
          <w:tcPr>
            <w:tcW w:w="715" w:type="pct"/>
            <w:vAlign w:val="center"/>
          </w:tcPr>
          <w:p>
            <w:pPr>
              <w:widowControl/>
              <w:spacing w:line="300" w:lineRule="auto"/>
              <w:jc w:val="center"/>
              <w:rPr>
                <w:rFonts w:hint="eastAsia" w:ascii="宋体" w:hAnsi="宋体" w:eastAsia="宋体" w:cs="宋体"/>
                <w:color w:val="auto"/>
                <w:kern w:val="0"/>
                <w:sz w:val="24"/>
                <w:szCs w:val="28"/>
              </w:rPr>
            </w:pPr>
          </w:p>
        </w:tc>
        <w:tc>
          <w:tcPr>
            <w:tcW w:w="1144" w:type="pct"/>
            <w:vAlign w:val="center"/>
          </w:tcPr>
          <w:p>
            <w:pPr>
              <w:widowControl/>
              <w:spacing w:line="300" w:lineRule="auto"/>
              <w:jc w:val="center"/>
              <w:rPr>
                <w:rFonts w:hint="eastAsia" w:ascii="宋体" w:hAnsi="宋体" w:eastAsia="宋体" w:cs="宋体"/>
                <w:color w:val="auto"/>
                <w:kern w:val="0"/>
                <w:sz w:val="24"/>
                <w:szCs w:val="24"/>
                <w:lang w:bidi="ar"/>
              </w:rPr>
            </w:pPr>
          </w:p>
        </w:tc>
        <w:tc>
          <w:tcPr>
            <w:tcW w:w="285"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c>
          <w:tcPr>
            <w:tcW w:w="427" w:type="pct"/>
            <w:vAlign w:val="center"/>
          </w:tcPr>
          <w:p>
            <w:pPr>
              <w:widowControl/>
              <w:spacing w:line="300" w:lineRule="auto"/>
              <w:jc w:val="center"/>
              <w:rPr>
                <w:rFonts w:hint="eastAsia" w:ascii="宋体" w:hAnsi="宋体" w:eastAsia="宋体" w:cs="宋体"/>
                <w:color w:val="auto"/>
                <w:kern w:val="0"/>
                <w:sz w:val="24"/>
                <w:szCs w:val="24"/>
                <w:lang w:bidi="ar"/>
              </w:rPr>
            </w:pPr>
          </w:p>
        </w:tc>
        <w:tc>
          <w:tcPr>
            <w:tcW w:w="1000"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c>
          <w:tcPr>
            <w:tcW w:w="643" w:type="pct"/>
            <w:vAlign w:val="center"/>
          </w:tcPr>
          <w:p>
            <w:pPr>
              <w:widowControl/>
              <w:spacing w:line="300" w:lineRule="auto"/>
              <w:jc w:val="center"/>
              <w:rPr>
                <w:rFonts w:hint="eastAsia" w:ascii="宋体" w:hAnsi="宋体" w:eastAsia="宋体" w:cs="宋体"/>
                <w:color w:val="auto"/>
                <w:kern w:val="0"/>
                <w:sz w:val="24"/>
                <w:szCs w:val="24"/>
                <w:lang w:bidi="ar"/>
              </w:rPr>
            </w:pPr>
          </w:p>
        </w:tc>
        <w:tc>
          <w:tcPr>
            <w:tcW w:w="214"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c>
          <w:tcPr>
            <w:tcW w:w="215" w:type="pct"/>
            <w:shd w:val="clear" w:color="auto" w:fill="auto"/>
            <w:vAlign w:val="center"/>
          </w:tcPr>
          <w:p>
            <w:pPr>
              <w:widowControl/>
              <w:spacing w:line="300" w:lineRule="auto"/>
              <w:jc w:val="center"/>
              <w:rPr>
                <w:rFonts w:hint="eastAsia" w:ascii="宋体" w:hAnsi="宋体" w:eastAsia="宋体" w:cs="宋体"/>
                <w:color w:val="auto"/>
                <w:kern w:val="0"/>
                <w:sz w:val="24"/>
                <w:szCs w:val="24"/>
                <w:lang w:bidi="ar"/>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（1）各单元理论授课、实践教学</w:t>
      </w:r>
      <w:r>
        <w:rPr>
          <w:rFonts w:hint="eastAsia"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lang w:val="en-US" w:eastAsia="zh-CN"/>
        </w:rPr>
        <w:t>学时分布</w:t>
      </w:r>
      <w:r>
        <w:rPr>
          <w:rFonts w:hint="eastAsia"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val="en-US" w:eastAsia="zh-CN"/>
        </w:rPr>
        <w:t>合计</w:t>
      </w:r>
      <w:r>
        <w:rPr>
          <w:rFonts w:hint="eastAsia" w:ascii="Times New Roman" w:hAnsi="Times New Roman" w:eastAsia="宋体" w:cs="Times New Roman"/>
          <w:color w:val="auto"/>
          <w:sz w:val="24"/>
          <w:szCs w:val="24"/>
          <w:lang w:val="en-US" w:eastAsia="zh-CN"/>
        </w:rPr>
        <w:t>学时</w:t>
      </w:r>
      <w:r>
        <w:rPr>
          <w:rFonts w:hint="default" w:ascii="Times New Roman" w:hAnsi="Times New Roman" w:eastAsia="宋体" w:cs="Times New Roman"/>
          <w:color w:val="auto"/>
          <w:sz w:val="24"/>
          <w:szCs w:val="24"/>
          <w:lang w:val="en-US" w:eastAsia="zh-CN"/>
        </w:rPr>
        <w:t>需要与</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FF0000"/>
          <w:sz w:val="24"/>
          <w:szCs w:val="24"/>
          <w:lang w:val="en-US" w:eastAsia="zh-CN"/>
        </w:rPr>
        <w:t>二、8.学时安排</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保持一致。</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（2）理论授课=</w:t>
      </w:r>
      <w:r>
        <w:rPr>
          <w:rFonts w:hint="default" w:ascii="Times New Roman" w:hAnsi="Times New Roman" w:eastAsia="宋体" w:cs="Times New Roman"/>
          <w:color w:val="FF0000"/>
          <w:sz w:val="24"/>
          <w:szCs w:val="24"/>
          <w:lang w:val="en-US" w:eastAsia="zh-CN"/>
        </w:rPr>
        <w:t>讲授+习题+测验+其他</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实践教学=</w:t>
      </w:r>
      <w:r>
        <w:rPr>
          <w:rFonts w:hint="eastAsia" w:ascii="Times New Roman" w:hAnsi="Times New Roman" w:eastAsia="宋体" w:cs="Times New Roman"/>
          <w:color w:val="FF0000"/>
          <w:sz w:val="24"/>
          <w:szCs w:val="24"/>
          <w:lang w:val="en-US" w:eastAsia="zh-CN"/>
        </w:rPr>
        <w:t>随堂</w:t>
      </w:r>
      <w:r>
        <w:rPr>
          <w:rFonts w:hint="default" w:ascii="Times New Roman" w:hAnsi="Times New Roman" w:eastAsia="宋体" w:cs="Times New Roman"/>
          <w:color w:val="FF0000"/>
          <w:sz w:val="24"/>
          <w:szCs w:val="24"/>
          <w:lang w:val="en-US" w:eastAsia="zh-CN"/>
        </w:rPr>
        <w:t>实践+</w:t>
      </w:r>
      <w:r>
        <w:rPr>
          <w:rFonts w:hint="eastAsia" w:ascii="Times New Roman" w:hAnsi="Times New Roman" w:eastAsia="宋体" w:cs="Times New Roman"/>
          <w:color w:val="FF0000"/>
          <w:sz w:val="24"/>
          <w:szCs w:val="24"/>
          <w:lang w:val="en-US" w:eastAsia="zh-CN"/>
        </w:rPr>
        <w:t>实验室</w:t>
      </w:r>
      <w:r>
        <w:rPr>
          <w:rFonts w:hint="default" w:ascii="Times New Roman" w:hAnsi="Times New Roman" w:eastAsia="宋体" w:cs="Times New Roman"/>
          <w:color w:val="FF0000"/>
          <w:sz w:val="24"/>
          <w:szCs w:val="24"/>
          <w:lang w:val="en-US" w:eastAsia="zh-CN"/>
        </w:rPr>
        <w:t>实验</w:t>
      </w:r>
      <w:r>
        <w:rPr>
          <w:rFonts w:hint="eastAsia" w:ascii="Times New Roman" w:hAnsi="Times New Roman" w:eastAsia="宋体" w:cs="Times New Roman"/>
          <w:color w:val="FF0000"/>
          <w:sz w:val="24"/>
          <w:szCs w:val="24"/>
          <w:lang w:val="en-US" w:eastAsia="zh-CN"/>
        </w:rPr>
        <w:t>+其他</w:t>
      </w:r>
      <w:r>
        <w:rPr>
          <w:rFonts w:hint="default" w:ascii="Times New Roman" w:hAnsi="Times New Roman" w:eastAsia="宋体" w:cs="Times New Roman"/>
          <w:color w:val="auto"/>
          <w:sz w:val="24"/>
          <w:szCs w:val="24"/>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bCs/>
          <w:color w:val="FF0000"/>
          <w:sz w:val="24"/>
          <w:szCs w:val="24"/>
          <w:lang w:val="en-US" w:eastAsia="zh-CN"/>
        </w:rPr>
      </w:pPr>
      <w:r>
        <w:rPr>
          <w:rFonts w:hint="default"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FF0000"/>
          <w:sz w:val="24"/>
          <w:szCs w:val="24"/>
          <w:lang w:val="en-US" w:eastAsia="zh-CN"/>
        </w:rPr>
        <w:t>课外学时说明</w:t>
      </w:r>
      <w:r>
        <w:rPr>
          <w:rFonts w:hint="eastAsia" w:ascii="Times New Roman" w:hAnsi="Times New Roman" w:eastAsia="宋体" w:cs="Times New Roman"/>
          <w:b w:val="0"/>
          <w:bCs w:val="0"/>
          <w:color w:val="auto"/>
          <w:sz w:val="24"/>
          <w:szCs w:val="24"/>
          <w:lang w:val="en-US" w:eastAsia="zh-CN"/>
        </w:rPr>
        <w:t>：如含有课外学时，需在该部分做出说明，且需与“</w:t>
      </w:r>
      <w:r>
        <w:rPr>
          <w:rFonts w:hint="default" w:ascii="Times New Roman" w:hAnsi="Times New Roman" w:eastAsia="宋体" w:cs="Times New Roman"/>
          <w:b w:val="0"/>
          <w:bCs w:val="0"/>
          <w:color w:val="auto"/>
          <w:sz w:val="24"/>
          <w:szCs w:val="24"/>
          <w:lang w:val="en-US" w:eastAsia="zh-CN"/>
        </w:rPr>
        <w:t>二、8.学时安排</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保持一致</w:t>
      </w:r>
      <w:r>
        <w:rPr>
          <w:rFonts w:hint="eastAsia" w:ascii="Times New Roman" w:hAnsi="Times New Roman" w:eastAsia="宋体" w:cs="Times New Roman"/>
          <w:color w:val="auto"/>
          <w:sz w:val="24"/>
          <w:szCs w:val="24"/>
          <w:lang w:val="en-US" w:eastAsia="zh-CN"/>
        </w:rPr>
        <w:t>；如无课外学时，该部分不用填写。</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5"/>
        <w:gridCol w:w="490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798"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单元标题</w:t>
            </w:r>
          </w:p>
        </w:tc>
        <w:tc>
          <w:tcPr>
            <w:tcW w:w="23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节标题</w:t>
            </w:r>
          </w:p>
        </w:tc>
        <w:tc>
          <w:tcPr>
            <w:tcW w:w="85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lang w:val="en-US" w:eastAsia="zh-CN"/>
              </w:rPr>
              <w:t>课外</w:t>
            </w:r>
            <w:r>
              <w:rPr>
                <w:rFonts w:hint="default" w:ascii="Times New Roman" w:hAnsi="Times New Roman" w:eastAsia="宋体" w:cs="Times New Roman"/>
                <w:bCs/>
                <w:color w:val="000000"/>
                <w:kern w:val="0"/>
                <w:sz w:val="24"/>
                <w:szCs w:val="28"/>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CU（1）XXX</w:t>
            </w:r>
          </w:p>
        </w:tc>
        <w:tc>
          <w:tcPr>
            <w:tcW w:w="23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1.1 xx</w:t>
            </w:r>
          </w:p>
        </w:tc>
        <w:tc>
          <w:tcPr>
            <w:tcW w:w="85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98"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235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1.2 xx</w:t>
            </w:r>
          </w:p>
        </w:tc>
        <w:tc>
          <w:tcPr>
            <w:tcW w:w="851"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98"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CU（2）XXX</w:t>
            </w:r>
          </w:p>
        </w:tc>
        <w:tc>
          <w:tcPr>
            <w:tcW w:w="2350"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2.1 xx</w:t>
            </w:r>
          </w:p>
        </w:tc>
        <w:tc>
          <w:tcPr>
            <w:tcW w:w="851"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98"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2350"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2.2 xx</w:t>
            </w:r>
          </w:p>
        </w:tc>
        <w:tc>
          <w:tcPr>
            <w:tcW w:w="851"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48" w:type="pct"/>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合计</w:t>
            </w:r>
          </w:p>
        </w:tc>
        <w:tc>
          <w:tcPr>
            <w:tcW w:w="851"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bl>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六、实践教学项目</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377"/>
        <w:gridCol w:w="1220"/>
        <w:gridCol w:w="1226"/>
        <w:gridCol w:w="1472"/>
        <w:gridCol w:w="1013"/>
        <w:gridCol w:w="1136"/>
        <w:gridCol w:w="9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535"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highlight w:val="none"/>
              </w:rPr>
              <w:t>项目</w:t>
            </w:r>
            <w:r>
              <w:rPr>
                <w:rFonts w:hint="eastAsia" w:ascii="Times New Roman" w:hAnsi="Times New Roman" w:eastAsia="宋体" w:cs="Times New Roman"/>
                <w:bCs/>
                <w:sz w:val="24"/>
                <w:szCs w:val="24"/>
                <w:highlight w:val="none"/>
                <w:lang w:val="en-US" w:eastAsia="zh-CN"/>
              </w:rPr>
              <w:t>编号</w:t>
            </w:r>
          </w:p>
        </w:tc>
        <w:tc>
          <w:tcPr>
            <w:tcW w:w="663"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项目</w:t>
            </w:r>
            <w:r>
              <w:rPr>
                <w:rFonts w:hint="eastAsia" w:ascii="Times New Roman" w:hAnsi="Times New Roman" w:eastAsia="宋体" w:cs="Times New Roman"/>
                <w:bCs/>
                <w:sz w:val="24"/>
                <w:szCs w:val="24"/>
                <w:lang w:val="en-US" w:eastAsia="zh-CN"/>
              </w:rPr>
              <w:t>级别</w:t>
            </w:r>
          </w:p>
        </w:tc>
        <w:tc>
          <w:tcPr>
            <w:tcW w:w="587"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项目类型</w:t>
            </w:r>
          </w:p>
        </w:tc>
        <w:tc>
          <w:tcPr>
            <w:tcW w:w="590"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项目名称</w:t>
            </w:r>
          </w:p>
        </w:tc>
        <w:tc>
          <w:tcPr>
            <w:tcW w:w="708"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项目内容</w:t>
            </w:r>
          </w:p>
        </w:tc>
        <w:tc>
          <w:tcPr>
            <w:tcW w:w="488"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预期学习效果</w:t>
            </w:r>
          </w:p>
        </w:tc>
        <w:tc>
          <w:tcPr>
            <w:tcW w:w="54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项目成果</w:t>
            </w:r>
          </w:p>
        </w:tc>
        <w:tc>
          <w:tcPr>
            <w:tcW w:w="439"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szCs w:val="24"/>
                <w:lang w:val="en-US" w:eastAsia="zh-CN"/>
              </w:rPr>
              <w:t>结束周次</w:t>
            </w:r>
          </w:p>
        </w:tc>
        <w:tc>
          <w:tcPr>
            <w:tcW w:w="439"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实践场所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63"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87"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90"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08"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488"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4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439"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2"/>
                <w:sz w:val="24"/>
                <w:szCs w:val="24"/>
                <w:lang w:val="en-US" w:eastAsia="zh-CN" w:bidi="ar-SA"/>
              </w:rPr>
            </w:pPr>
          </w:p>
        </w:tc>
        <w:tc>
          <w:tcPr>
            <w:tcW w:w="439"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此表用于描述课程实践（含实验）项目的具体内容、成果物、学时安排、实践场所等，</w:t>
      </w:r>
      <w:r>
        <w:rPr>
          <w:rFonts w:hint="default" w:ascii="Times New Roman" w:hAnsi="Times New Roman" w:eastAsia="宋体" w:cs="Times New Roman"/>
          <w:b/>
          <w:bCs/>
          <w:color w:val="FF0000"/>
          <w:sz w:val="24"/>
          <w:szCs w:val="24"/>
          <w:lang w:val="en-US" w:eastAsia="zh-CN"/>
        </w:rPr>
        <w:t>若无实践教学，在一级标题后写</w:t>
      </w:r>
      <w:r>
        <w:rPr>
          <w:rFonts w:hint="eastAsia" w:ascii="Times New Roman" w:hAnsi="Times New Roman" w:eastAsia="宋体" w:cs="Times New Roman"/>
          <w:b/>
          <w:bCs/>
          <w:color w:val="FF0000"/>
          <w:sz w:val="24"/>
          <w:szCs w:val="24"/>
          <w:lang w:val="en-US" w:eastAsia="zh-CN"/>
        </w:rPr>
        <w:t>“</w:t>
      </w:r>
      <w:r>
        <w:rPr>
          <w:rFonts w:hint="default" w:ascii="Times New Roman" w:hAnsi="Times New Roman" w:eastAsia="宋体" w:cs="Times New Roman"/>
          <w:b/>
          <w:bCs/>
          <w:color w:val="FF0000"/>
          <w:sz w:val="24"/>
          <w:szCs w:val="24"/>
          <w:lang w:val="en-US" w:eastAsia="zh-CN"/>
        </w:rPr>
        <w:t>（无）</w:t>
      </w:r>
      <w:r>
        <w:rPr>
          <w:rFonts w:hint="eastAsia" w:ascii="Times New Roman" w:hAnsi="Times New Roman" w:eastAsia="宋体" w:cs="Times New Roman"/>
          <w:b/>
          <w:bCs/>
          <w:color w:val="FF0000"/>
          <w:sz w:val="24"/>
          <w:szCs w:val="24"/>
          <w:lang w:val="en-US" w:eastAsia="zh-CN"/>
        </w:rPr>
        <w: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填写过程注意如下：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实践项目设置应系统、合理，体现循序渐进、由易到难的原则，成果物可测评。项目类型与内容应紧密结合专业理论知识，有效支持课程目标的达成，注重综合性、设计性项目的设计，注重将企业项目、科研项目转化为教学项目，有效培养学生的实践能力和创新能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项目编号”中“UP（*）”表示课程单元项目，括号中的数值对应单元号，如果括号中只有一个单元号，则为单元项目（5级）；如果括号中有多个单元号，则为单元组项目（4级）。“CP（*）”则对应课程的多数单元，为课程级项目（3级）。</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项目类型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是指单元项目、单元组项目、课程综合项目、课内实践、实验（分为验证性实验、基本应用性实验、综合性实验、设计性实验、创新研究性实验）等。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项目内容</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是填写案例、项目或设计制作的简要介绍。 </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项目成果物</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即作品类型，主要包括实验报告、实习报告、设计文档、作品等。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实践场所</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包括课堂、实验室、课外等。</w:t>
      </w:r>
    </w:p>
    <w:p>
      <w:pPr>
        <w:keepNext w:val="0"/>
        <w:keepLines w:val="0"/>
        <w:pageBreakBefore w:val="0"/>
        <w:kinsoku/>
        <w:wordWrap/>
        <w:overflowPunct/>
        <w:topLinePunct w:val="0"/>
        <w:autoSpaceDE/>
        <w:autoSpaceDN/>
        <w:bidi w:val="0"/>
        <w:adjustRightInd/>
        <w:spacing w:before="340" w:after="330" w:line="560" w:lineRule="exact"/>
        <w:ind w:left="616"/>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七、课程考核与评价</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（1）课程考核包括</w:t>
      </w:r>
      <w:r>
        <w:rPr>
          <w:rFonts w:hint="default" w:ascii="Times New Roman" w:hAnsi="Times New Roman" w:eastAsia="宋体" w:cs="Times New Roman"/>
          <w:sz w:val="24"/>
          <w:szCs w:val="24"/>
          <w:lang w:val="en-US" w:eastAsia="zh-CN"/>
        </w:rPr>
        <w:t>形成性考核和终结性考核，形成性考核的目的是促进学习效果达成，终结性考核的目的是验证学习效果达成情况。</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课程考核与评价至少包括考核项目、考核目的和评价标准三个方面。合理设置各考核项目构成及所占比重；明确各考核项目要检测的知识点与能力、教学效果达成情况、重点难点的掌握情况等；规范成绩评定标准，使课程考核能够客观公正地评价学生学业表现，能够充分且有效评价学生在课程教学目标上的达成度。</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（3）上述考核评价的设计应能引导、督促学生在整个学期中不断努力学习。</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课程总成绩构成</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课程总成绩（100分）= </w:t>
      </w:r>
      <w:r>
        <w:rPr>
          <w:rFonts w:hint="eastAsia" w:ascii="Times New Roman" w:hAnsi="Times New Roman" w:eastAsia="宋体" w:cs="Times New Roman"/>
          <w:sz w:val="24"/>
          <w:szCs w:val="24"/>
          <w:lang w:val="en-US" w:eastAsia="zh-CN"/>
        </w:rPr>
        <w:t>形成</w:t>
      </w:r>
      <w:r>
        <w:rPr>
          <w:rFonts w:hint="default" w:ascii="Times New Roman" w:hAnsi="Times New Roman" w:eastAsia="宋体" w:cs="Times New Roman"/>
          <w:sz w:val="24"/>
          <w:szCs w:val="24"/>
          <w:lang w:val="en-US" w:eastAsia="zh-CN"/>
        </w:rPr>
        <w:t>性</w:t>
      </w:r>
      <w:r>
        <w:rPr>
          <w:rFonts w:hint="default" w:ascii="Times New Roman" w:hAnsi="Times New Roman" w:eastAsia="宋体" w:cs="Times New Roman"/>
          <w:sz w:val="24"/>
          <w:szCs w:val="24"/>
        </w:rPr>
        <w:t>考核成绩（</w:t>
      </w:r>
      <w:r>
        <w:rPr>
          <w:rFonts w:hint="default" w:ascii="Times New Roman" w:hAnsi="Times New Roman" w:eastAsia="宋体" w:cs="Times New Roman"/>
          <w:color w:val="FF0000"/>
          <w:sz w:val="24"/>
          <w:szCs w:val="24"/>
          <w:lang w:val="en-US" w:eastAsia="zh-CN"/>
        </w:rPr>
        <w:t>100</w:t>
      </w:r>
      <w:r>
        <w:rPr>
          <w:rFonts w:hint="default" w:ascii="Times New Roman" w:hAnsi="Times New Roman" w:eastAsia="宋体" w:cs="Times New Roman"/>
          <w:color w:val="FF000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color w:val="0000FF"/>
          <w:sz w:val="24"/>
          <w:szCs w:val="24"/>
          <w:lang w:val="en-US" w:eastAsia="zh-CN"/>
        </w:rPr>
        <w:t>40%</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终结性</w:t>
      </w:r>
      <w:r>
        <w:rPr>
          <w:rFonts w:hint="default" w:ascii="Times New Roman" w:hAnsi="Times New Roman" w:eastAsia="宋体" w:cs="Times New Roman"/>
          <w:sz w:val="24"/>
          <w:szCs w:val="24"/>
          <w:lang w:eastAsia="zh-CN"/>
        </w:rPr>
        <w:t>考核</w:t>
      </w:r>
      <w:r>
        <w:rPr>
          <w:rFonts w:hint="default" w:ascii="Times New Roman" w:hAnsi="Times New Roman" w:eastAsia="宋体" w:cs="Times New Roman"/>
          <w:sz w:val="24"/>
          <w:szCs w:val="24"/>
        </w:rPr>
        <w:t>成绩（</w:t>
      </w:r>
      <w:r>
        <w:rPr>
          <w:rFonts w:hint="default" w:ascii="Times New Roman" w:hAnsi="Times New Roman" w:eastAsia="宋体" w:cs="Times New Roman"/>
          <w:color w:val="FF0000"/>
          <w:sz w:val="24"/>
          <w:szCs w:val="24"/>
          <w:lang w:val="en-US" w:eastAsia="zh-CN"/>
        </w:rPr>
        <w:t>100</w:t>
      </w:r>
      <w:r>
        <w:rPr>
          <w:rFonts w:hint="default" w:ascii="Times New Roman" w:hAnsi="Times New Roman" w:eastAsia="宋体" w:cs="Times New Roman"/>
          <w:color w:val="FF000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color w:val="0000FF"/>
          <w:sz w:val="24"/>
          <w:szCs w:val="24"/>
          <w:lang w:val="en-US" w:eastAsia="zh-CN"/>
        </w:rPr>
        <w:t>60%</w:t>
      </w:r>
      <w:r>
        <w:rPr>
          <w:rFonts w:hint="default" w:ascii="Times New Roman" w:hAnsi="Times New Roman" w:eastAsia="宋体" w:cs="Times New Roman"/>
          <w:sz w:val="24"/>
          <w:szCs w:val="24"/>
        </w:rPr>
        <w:t>）</w:t>
      </w:r>
    </w:p>
    <w:p>
      <w:pPr>
        <w:keepNext w:val="0"/>
        <w:keepLines w:val="0"/>
        <w:pageBreakBefore w:val="0"/>
        <w:numPr>
          <w:ilvl w:val="0"/>
          <w:numId w:val="3"/>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eastAsia" w:ascii="Times New Roman" w:hAnsi="Times New Roman" w:eastAsia="宋体" w:cs="Times New Roman"/>
          <w:b/>
          <w:sz w:val="24"/>
          <w:szCs w:val="28"/>
          <w:lang w:val="en-US" w:eastAsia="zh-CN"/>
        </w:rPr>
        <w:t>形成</w:t>
      </w:r>
      <w:r>
        <w:rPr>
          <w:rFonts w:hint="default" w:ascii="Times New Roman" w:hAnsi="Times New Roman" w:eastAsia="宋体" w:cs="Times New Roman"/>
          <w:b/>
          <w:sz w:val="24"/>
          <w:szCs w:val="28"/>
        </w:rPr>
        <w:t>性考核与评价</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289"/>
        <w:gridCol w:w="1663"/>
        <w:gridCol w:w="1448"/>
        <w:gridCol w:w="1976"/>
        <w:gridCol w:w="123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704"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考核项目</w:t>
            </w:r>
          </w:p>
        </w:tc>
        <w:tc>
          <w:tcPr>
            <w:tcW w:w="61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满分值</w:t>
            </w:r>
          </w:p>
        </w:tc>
        <w:tc>
          <w:tcPr>
            <w:tcW w:w="79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auto"/>
                <w:kern w:val="0"/>
                <w:sz w:val="24"/>
                <w:szCs w:val="24"/>
                <w:lang w:val="en-US"/>
              </w:rPr>
            </w:pPr>
            <w:r>
              <w:rPr>
                <w:rFonts w:hint="eastAsia" w:ascii="Times New Roman" w:hAnsi="Times New Roman" w:eastAsia="宋体" w:cs="Times New Roman"/>
                <w:bCs/>
                <w:color w:val="auto"/>
                <w:kern w:val="0"/>
                <w:sz w:val="24"/>
                <w:szCs w:val="24"/>
                <w:lang w:val="en-US" w:eastAsia="zh-CN"/>
              </w:rPr>
              <w:t>成绩占比</w:t>
            </w:r>
          </w:p>
        </w:tc>
        <w:tc>
          <w:tcPr>
            <w:tcW w:w="693"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促进的预期学习效果</w:t>
            </w:r>
          </w:p>
        </w:tc>
        <w:tc>
          <w:tcPr>
            <w:tcW w:w="94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评价标准</w:t>
            </w:r>
          </w:p>
        </w:tc>
        <w:tc>
          <w:tcPr>
            <w:tcW w:w="58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结束周次</w:t>
            </w:r>
          </w:p>
        </w:tc>
        <w:tc>
          <w:tcPr>
            <w:tcW w:w="65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考勤</w:t>
            </w:r>
          </w:p>
        </w:tc>
        <w:tc>
          <w:tcPr>
            <w:tcW w:w="61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100</w:t>
            </w:r>
          </w:p>
        </w:tc>
        <w:tc>
          <w:tcPr>
            <w:tcW w:w="79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w:t>
            </w:r>
          </w:p>
        </w:tc>
        <w:tc>
          <w:tcPr>
            <w:tcW w:w="693"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4"/>
                <w:szCs w:val="24"/>
                <w:lang w:val="en-US" w:eastAsia="zh-CN"/>
              </w:rPr>
              <w:t>课堂回答问题正答率和参与率</w:t>
            </w:r>
          </w:p>
        </w:tc>
        <w:tc>
          <w:tcPr>
            <w:tcW w:w="58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color w:val="0000FF"/>
                <w:kern w:val="0"/>
                <w:sz w:val="28"/>
                <w:szCs w:val="28"/>
                <w:lang w:val="en-US" w:eastAsia="zh-CN"/>
              </w:rPr>
            </w:pPr>
            <w:r>
              <w:rPr>
                <w:rFonts w:hint="eastAsia" w:ascii="Times New Roman" w:hAnsi="Times New Roman" w:eastAsia="宋体" w:cs="Times New Roman"/>
                <w:color w:val="0000FF"/>
                <w:kern w:val="0"/>
                <w:sz w:val="28"/>
                <w:szCs w:val="28"/>
                <w:lang w:val="en-US" w:eastAsia="zh-CN"/>
              </w:rPr>
              <w:t>8</w:t>
            </w:r>
          </w:p>
        </w:tc>
        <w:tc>
          <w:tcPr>
            <w:tcW w:w="65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eastAsia" w:ascii="Times New Roman" w:hAnsi="Times New Roman" w:eastAsia="宋体" w:cs="Times New Roman"/>
                <w:color w:val="0000FF"/>
                <w:kern w:val="0"/>
                <w:sz w:val="24"/>
                <w:szCs w:val="24"/>
                <w:lang w:val="en-US" w:eastAsia="zh-CN"/>
              </w:rPr>
              <w:t>课堂</w:t>
            </w:r>
            <w:r>
              <w:rPr>
                <w:rFonts w:hint="default" w:ascii="Times New Roman" w:hAnsi="Times New Roman" w:eastAsia="宋体" w:cs="Times New Roman"/>
                <w:color w:val="0000FF"/>
                <w:kern w:val="0"/>
                <w:sz w:val="24"/>
                <w:szCs w:val="24"/>
                <w:lang w:val="en-US" w:eastAsia="zh-CN"/>
              </w:rPr>
              <w:t>表现</w:t>
            </w:r>
          </w:p>
        </w:tc>
        <w:tc>
          <w:tcPr>
            <w:tcW w:w="61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100</w:t>
            </w:r>
          </w:p>
        </w:tc>
        <w:tc>
          <w:tcPr>
            <w:tcW w:w="79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20%</w:t>
            </w:r>
          </w:p>
        </w:tc>
        <w:tc>
          <w:tcPr>
            <w:tcW w:w="693"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58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c>
          <w:tcPr>
            <w:tcW w:w="65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大作业</w:t>
            </w:r>
          </w:p>
        </w:tc>
        <w:tc>
          <w:tcPr>
            <w:tcW w:w="61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100</w:t>
            </w:r>
          </w:p>
        </w:tc>
        <w:tc>
          <w:tcPr>
            <w:tcW w:w="79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60%</w:t>
            </w:r>
          </w:p>
        </w:tc>
        <w:tc>
          <w:tcPr>
            <w:tcW w:w="693"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58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c>
          <w:tcPr>
            <w:tcW w:w="65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实践项目</w:t>
            </w:r>
          </w:p>
        </w:tc>
        <w:tc>
          <w:tcPr>
            <w:tcW w:w="61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100</w:t>
            </w:r>
          </w:p>
        </w:tc>
        <w:tc>
          <w:tcPr>
            <w:tcW w:w="79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w:t>
            </w:r>
          </w:p>
        </w:tc>
        <w:tc>
          <w:tcPr>
            <w:tcW w:w="693"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58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c>
          <w:tcPr>
            <w:tcW w:w="65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0000FF"/>
                <w:kern w:val="0"/>
                <w:sz w:val="24"/>
                <w:szCs w:val="24"/>
                <w:lang w:val="en-US" w:eastAsia="zh-CN"/>
              </w:rPr>
            </w:pPr>
            <w:r>
              <w:rPr>
                <w:rFonts w:hint="eastAsia" w:ascii="Times New Roman" w:hAnsi="Times New Roman" w:eastAsia="宋体" w:cs="Times New Roman"/>
                <w:b/>
                <w:bCs/>
                <w:color w:val="FF0000"/>
                <w:kern w:val="0"/>
                <w:sz w:val="24"/>
                <w:szCs w:val="24"/>
                <w:lang w:val="en-US" w:eastAsia="zh-CN"/>
              </w:rPr>
              <w:t>合计</w:t>
            </w:r>
          </w:p>
        </w:tc>
        <w:tc>
          <w:tcPr>
            <w:tcW w:w="61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FF0000"/>
                <w:kern w:val="0"/>
                <w:sz w:val="24"/>
                <w:szCs w:val="24"/>
                <w:lang w:val="en-US" w:eastAsia="zh-CN"/>
              </w:rPr>
            </w:pPr>
            <w:r>
              <w:rPr>
                <w:rFonts w:hint="eastAsia" w:ascii="Times New Roman" w:hAnsi="Times New Roman" w:eastAsia="宋体" w:cs="Times New Roman"/>
                <w:b/>
                <w:bCs/>
                <w:color w:val="FF0000"/>
                <w:kern w:val="0"/>
                <w:sz w:val="24"/>
                <w:szCs w:val="24"/>
                <w:lang w:val="en-US" w:eastAsia="zh-CN"/>
              </w:rPr>
              <w:t>100</w:t>
            </w:r>
          </w:p>
        </w:tc>
        <w:tc>
          <w:tcPr>
            <w:tcW w:w="79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FF0000"/>
                <w:kern w:val="0"/>
                <w:sz w:val="24"/>
                <w:szCs w:val="24"/>
                <w:lang w:val="en-US" w:eastAsia="zh-CN"/>
              </w:rPr>
            </w:pPr>
            <w:r>
              <w:rPr>
                <w:rFonts w:hint="eastAsia" w:ascii="Times New Roman" w:hAnsi="Times New Roman" w:eastAsia="宋体" w:cs="Times New Roman"/>
                <w:b/>
                <w:bCs/>
                <w:color w:val="FF0000"/>
                <w:kern w:val="0"/>
                <w:sz w:val="24"/>
                <w:szCs w:val="24"/>
                <w:lang w:val="en-US" w:eastAsia="zh-CN"/>
              </w:rPr>
              <w:t>100%</w:t>
            </w:r>
          </w:p>
        </w:tc>
        <w:tc>
          <w:tcPr>
            <w:tcW w:w="693"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58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c>
          <w:tcPr>
            <w:tcW w:w="65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蓝色字体为示例说明，如无疑问可忽略。</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考核项目</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是指课程考核的不同环节、项目，如考勤、课堂表现、在线学习情况、作业、实验、实践、项目、测试、期中考试等，</w:t>
      </w:r>
      <w:r>
        <w:rPr>
          <w:rFonts w:hint="eastAsia" w:ascii="Times New Roman" w:hAnsi="Times New Roman" w:eastAsia="宋体" w:cs="Times New Roman"/>
          <w:sz w:val="24"/>
          <w:szCs w:val="24"/>
          <w:lang w:val="en-US" w:eastAsia="zh-CN"/>
        </w:rPr>
        <w:t>针对同类型考核项目但有不同考核目的的可分别描述</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b w:val="0"/>
          <w:bCs w:val="0"/>
          <w:color w:val="auto"/>
          <w:sz w:val="24"/>
          <w:szCs w:val="24"/>
          <w:lang w:val="en-US" w:eastAsia="zh-CN"/>
        </w:rPr>
        <w:t>若有</w:t>
      </w:r>
      <w:r>
        <w:rPr>
          <w:rFonts w:hint="eastAsia" w:ascii="Times New Roman" w:hAnsi="Times New Roman" w:eastAsia="宋体" w:cs="Times New Roman"/>
          <w:b w:val="0"/>
          <w:bCs w:val="0"/>
          <w:color w:val="FF0000"/>
          <w:sz w:val="24"/>
          <w:szCs w:val="24"/>
          <w:lang w:val="en-US" w:eastAsia="zh-CN"/>
        </w:rPr>
        <w:t>实践教学学时</w:t>
      </w:r>
      <w:r>
        <w:rPr>
          <w:rFonts w:hint="eastAsia" w:ascii="Times New Roman" w:hAnsi="Times New Roman" w:eastAsia="宋体" w:cs="Times New Roman"/>
          <w:b w:val="0"/>
          <w:bCs w:val="0"/>
          <w:color w:val="auto"/>
          <w:sz w:val="24"/>
          <w:szCs w:val="24"/>
          <w:lang w:val="en-US" w:eastAsia="zh-CN"/>
        </w:rPr>
        <w:t>，需要在该部分体现实践教学的</w:t>
      </w:r>
      <w:r>
        <w:rPr>
          <w:rFonts w:hint="default" w:ascii="Times New Roman" w:hAnsi="Times New Roman" w:eastAsia="宋体" w:cs="Times New Roman"/>
          <w:b w:val="0"/>
          <w:bCs w:val="0"/>
          <w:color w:val="auto"/>
          <w:sz w:val="24"/>
          <w:szCs w:val="24"/>
          <w:lang w:val="en-US" w:eastAsia="zh-CN"/>
        </w:rPr>
        <w:t>相关考核。</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eastAsia" w:ascii="Times New Roman" w:hAnsi="Times New Roman" w:eastAsia="宋体" w:cs="Times New Roman"/>
          <w:color w:val="auto"/>
          <w:sz w:val="24"/>
          <w:szCs w:val="24"/>
          <w:lang w:val="en-US" w:eastAsia="zh-CN"/>
        </w:rPr>
        <w:t>成绩占比</w:t>
      </w:r>
      <w:r>
        <w:rPr>
          <w:rFonts w:hint="default" w:ascii="Times New Roman" w:hAnsi="Times New Roman" w:eastAsia="宋体" w:cs="Times New Roman"/>
          <w:color w:val="auto"/>
          <w:sz w:val="24"/>
          <w:szCs w:val="24"/>
          <w:lang w:val="en-US" w:eastAsia="zh-CN"/>
        </w:rPr>
        <w:t>：指每个考核项目占过程性考核的比例。</w:t>
      </w:r>
      <w:r>
        <w:rPr>
          <w:rFonts w:hint="default" w:ascii="Times New Roman" w:hAnsi="Times New Roman" w:eastAsia="宋体" w:cs="Times New Roman"/>
          <w:b w:val="0"/>
          <w:bCs w:val="0"/>
          <w:color w:val="FF0000"/>
          <w:sz w:val="24"/>
          <w:szCs w:val="24"/>
          <w:lang w:val="en-US" w:eastAsia="zh-CN"/>
        </w:rPr>
        <w:t>所有过程性考核项目比例之和为100%</w:t>
      </w:r>
      <w:r>
        <w:rPr>
          <w:rFonts w:hint="eastAsia" w:ascii="Times New Roman" w:hAnsi="Times New Roman" w:eastAsia="宋体" w:cs="Times New Roman"/>
          <w:b w:val="0"/>
          <w:bCs w:val="0"/>
          <w:color w:val="FF0000"/>
          <w:sz w:val="24"/>
          <w:szCs w:val="24"/>
          <w:lang w:val="en-US" w:eastAsia="zh-CN"/>
        </w:rPr>
        <w:t>，且</w:t>
      </w:r>
      <w:r>
        <w:rPr>
          <w:rFonts w:hint="default" w:ascii="Times New Roman" w:hAnsi="Times New Roman" w:eastAsia="宋体" w:cs="Times New Roman"/>
          <w:b w:val="0"/>
          <w:bCs w:val="0"/>
          <w:color w:val="FF0000"/>
          <w:sz w:val="24"/>
          <w:szCs w:val="24"/>
          <w:lang w:val="en-US" w:eastAsia="zh-CN"/>
        </w:rPr>
        <w:t>所有过程性考核项目</w:t>
      </w:r>
      <w:r>
        <w:rPr>
          <w:rFonts w:hint="default" w:ascii="Times New Roman" w:hAnsi="Times New Roman" w:eastAsia="宋体" w:cs="Times New Roman"/>
          <w:b w:val="0"/>
          <w:bCs w:val="0"/>
          <w:color w:val="FF0000"/>
          <w:sz w:val="24"/>
          <w:szCs w:val="28"/>
          <w:lang w:val="en-US" w:eastAsia="zh-CN"/>
        </w:rPr>
        <w:t>合计满分为100分</w:t>
      </w:r>
      <w:r>
        <w:rPr>
          <w:rFonts w:hint="eastAsia" w:ascii="Times New Roman" w:hAnsi="Times New Roman" w:eastAsia="宋体" w:cs="Times New Roman"/>
          <w:b w:val="0"/>
          <w:bCs w:val="0"/>
          <w:color w:val="FF0000"/>
          <w:sz w:val="24"/>
          <w:szCs w:val="28"/>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促进的预期学习效果</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是指能从实际问题的解决中激发学习兴趣，明白数学观点和方法背后的现实意义，实现对知识内容的理解，具有开拓专业理论学习的素质，树立严谨的科学态度。</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评价标准</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是指课程考核项目成绩评价标准与方法。</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备注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可说明考核时间阶段、频次、完成形式、提交方式等。</w:t>
      </w:r>
    </w:p>
    <w:p>
      <w:pPr>
        <w:keepNext w:val="0"/>
        <w:keepLines w:val="0"/>
        <w:pageBreakBefore w:val="0"/>
        <w:numPr>
          <w:ilvl w:val="0"/>
          <w:numId w:val="3"/>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终结性</w:t>
      </w:r>
      <w:r>
        <w:rPr>
          <w:rFonts w:hint="default" w:ascii="Times New Roman" w:hAnsi="Times New Roman" w:eastAsia="宋体" w:cs="Times New Roman"/>
          <w:b/>
          <w:sz w:val="24"/>
          <w:szCs w:val="28"/>
          <w:lang w:val="en-US" w:eastAsia="zh-CN"/>
        </w:rPr>
        <w:t>考核与评价</w:t>
      </w:r>
    </w:p>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终结性考核方式（成绩占比）、考核时间（时长）</w:t>
      </w:r>
      <w:r>
        <w:rPr>
          <w:rFonts w:hint="eastAsia" w:ascii="Times New Roman" w:hAnsi="Times New Roman" w:eastAsia="宋体" w:cs="Times New Roman"/>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ind w:firstLine="480" w:firstLineChars="200"/>
        <w:textAlignment w:val="auto"/>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sz w:val="24"/>
          <w:szCs w:val="24"/>
          <w:lang w:val="en-US" w:eastAsia="zh-CN"/>
        </w:rPr>
        <w:t>例如：</w:t>
      </w:r>
      <w:r>
        <w:rPr>
          <w:rFonts w:hint="default" w:ascii="Times New Roman" w:hAnsi="Times New Roman" w:eastAsia="宋体" w:cs="Times New Roman"/>
          <w:sz w:val="24"/>
          <w:szCs w:val="24"/>
        </w:rPr>
        <w:t>终结性考核</w:t>
      </w:r>
      <w:r>
        <w:rPr>
          <w:rFonts w:hint="eastAsia" w:ascii="Times New Roman" w:hAnsi="Times New Roman" w:eastAsia="宋体" w:cs="Times New Roman"/>
          <w:sz w:val="24"/>
          <w:szCs w:val="24"/>
          <w:lang w:val="en-US" w:eastAsia="zh-CN"/>
        </w:rPr>
        <w:t>方式</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color w:val="0000FF"/>
          <w:sz w:val="24"/>
          <w:szCs w:val="24"/>
          <w:lang w:val="en-US" w:eastAsia="zh-CN"/>
        </w:rPr>
        <w:t>60%</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为</w:t>
      </w:r>
      <w:r>
        <w:rPr>
          <w:rFonts w:hint="eastAsia" w:ascii="Times New Roman" w:hAnsi="Times New Roman" w:eastAsia="宋体" w:cs="Times New Roman"/>
          <w:sz w:val="24"/>
          <w:szCs w:val="24"/>
          <w:lang w:eastAsia="zh-CN"/>
        </w:rPr>
        <w:t>闭卷笔试（100分×</w:t>
      </w:r>
      <w:r>
        <w:rPr>
          <w:rFonts w:hint="eastAsia" w:ascii="Times New Roman" w:hAnsi="Times New Roman" w:eastAsia="宋体" w:cs="Times New Roman"/>
          <w:color w:val="FF0000"/>
          <w:sz w:val="24"/>
          <w:szCs w:val="24"/>
          <w:lang w:val="en-US" w:eastAsia="zh-CN"/>
        </w:rPr>
        <w:t>6</w:t>
      </w:r>
      <w:r>
        <w:rPr>
          <w:rFonts w:hint="eastAsia" w:ascii="Times New Roman" w:hAnsi="Times New Roman" w:eastAsia="宋体" w:cs="Times New Roman"/>
          <w:color w:val="FF0000"/>
          <w:sz w:val="24"/>
          <w:szCs w:val="24"/>
          <w:lang w:eastAsia="zh-CN"/>
        </w:rPr>
        <w:t>0%</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+大作业</w:t>
      </w:r>
      <w:r>
        <w:rPr>
          <w:rFonts w:hint="eastAsia" w:ascii="Times New Roman" w:hAnsi="Times New Roman" w:eastAsia="宋体" w:cs="Times New Roman"/>
          <w:sz w:val="24"/>
          <w:szCs w:val="24"/>
          <w:lang w:eastAsia="zh-CN"/>
        </w:rPr>
        <w:t>（100分×</w:t>
      </w:r>
      <w:r>
        <w:rPr>
          <w:rFonts w:hint="eastAsia" w:ascii="Times New Roman" w:hAnsi="Times New Roman" w:eastAsia="宋体" w:cs="Times New Roman"/>
          <w:color w:val="FF0000"/>
          <w:sz w:val="24"/>
          <w:szCs w:val="24"/>
          <w:lang w:val="en-US" w:eastAsia="zh-CN"/>
        </w:rPr>
        <w:t>4</w:t>
      </w:r>
      <w:r>
        <w:rPr>
          <w:rFonts w:hint="eastAsia" w:ascii="Times New Roman" w:hAnsi="Times New Roman" w:eastAsia="宋体" w:cs="Times New Roman"/>
          <w:color w:val="FF0000"/>
          <w:sz w:val="24"/>
          <w:szCs w:val="24"/>
          <w:lang w:eastAsia="zh-CN"/>
        </w:rPr>
        <w:t>0%</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考核时间为</w:t>
      </w:r>
      <w:r>
        <w:rPr>
          <w:rFonts w:hint="eastAsia" w:ascii="Times New Roman" w:hAnsi="Times New Roman" w:eastAsia="宋体" w:cs="Times New Roman"/>
          <w:color w:val="0000FF"/>
          <w:sz w:val="24"/>
          <w:szCs w:val="24"/>
          <w:lang w:val="en-US" w:eastAsia="zh-CN"/>
        </w:rPr>
        <w:t>90分钟</w:t>
      </w:r>
      <w:r>
        <w:rPr>
          <w:rFonts w:hint="eastAsia" w:ascii="Times New Roman" w:hAnsi="Times New Roman" w:eastAsia="宋体" w:cs="Times New Roman"/>
          <w:sz w:val="24"/>
          <w:szCs w:val="24"/>
          <w:lang w:eastAsia="zh-CN"/>
        </w:rPr>
        <w:t>。</w:t>
      </w:r>
    </w:p>
    <w:tbl>
      <w:tblPr>
        <w:tblStyle w:val="7"/>
        <w:tblpPr w:leftFromText="180" w:rightFromText="180" w:vertAnchor="text" w:horzAnchor="margin" w:tblpXSpec="center" w:tblpY="228"/>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985"/>
        <w:gridCol w:w="1701"/>
        <w:gridCol w:w="1280"/>
        <w:gridCol w:w="1276"/>
        <w:gridCol w:w="127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shd w:val="clear" w:color="auto" w:fill="auto"/>
            <w:noWrap/>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预期学习效果</w:t>
            </w:r>
          </w:p>
        </w:tc>
        <w:tc>
          <w:tcPr>
            <w:tcW w:w="1985"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知识点（群）与技能点（能力）</w:t>
            </w:r>
          </w:p>
        </w:tc>
        <w:tc>
          <w:tcPr>
            <w:tcW w:w="1701"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对应掌握程度</w:t>
            </w:r>
          </w:p>
        </w:tc>
        <w:tc>
          <w:tcPr>
            <w:tcW w:w="1280" w:type="dxa"/>
            <w:shd w:val="clear" w:color="auto" w:fill="auto"/>
            <w:noWrap/>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是否重点</w:t>
            </w:r>
          </w:p>
        </w:tc>
        <w:tc>
          <w:tcPr>
            <w:tcW w:w="1276" w:type="dxa"/>
            <w:shd w:val="clear" w:color="auto" w:fill="auto"/>
            <w:noWrap/>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难中易</w:t>
            </w:r>
          </w:p>
        </w:tc>
        <w:tc>
          <w:tcPr>
            <w:tcW w:w="1276"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所占比例</w:t>
            </w:r>
          </w:p>
        </w:tc>
        <w:tc>
          <w:tcPr>
            <w:tcW w:w="846"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restart"/>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如：掌握数理逻辑、基本集合论、图论基础的基本概念和建模方法，并掌握其重要的工程应用实例。</w:t>
            </w: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命题与联结词</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1276" w:type="dxa"/>
            <w:vMerge w:val="restart"/>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30%</w:t>
            </w:r>
          </w:p>
        </w:tc>
        <w:tc>
          <w:tcPr>
            <w:tcW w:w="846" w:type="dxa"/>
            <w:vMerge w:val="restart"/>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谓词和量词</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逻辑等价</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推理规则</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证明方法</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逻辑的应用</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难</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集合计算</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函数</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鸽巢原理</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容斥原理</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关系及其表示</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关系的性质</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关系的闭包</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等价关系</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难</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偏序关系</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难</w:t>
            </w:r>
          </w:p>
        </w:tc>
        <w:tc>
          <w:tcPr>
            <w:tcW w:w="127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pPr>
              <w:widowControl/>
              <w:spacing w:line="400" w:lineRule="exact"/>
              <w:jc w:val="center"/>
              <w:rPr>
                <w:rFonts w:hint="eastAsia" w:ascii="宋体" w:hAnsi="宋体" w:eastAsia="宋体" w:cs="宋体"/>
                <w:color w:val="auto"/>
                <w:kern w:val="0"/>
                <w:sz w:val="14"/>
                <w:szCs w:val="14"/>
                <w:lang w:bidi="ar"/>
              </w:rPr>
            </w:pPr>
          </w:p>
        </w:tc>
        <w:tc>
          <w:tcPr>
            <w:tcW w:w="1701" w:type="dxa"/>
            <w:vAlign w:val="center"/>
          </w:tcPr>
          <w:p>
            <w:pPr>
              <w:widowControl/>
              <w:spacing w:line="400" w:lineRule="exact"/>
              <w:jc w:val="center"/>
              <w:rPr>
                <w:rFonts w:hint="eastAsia" w:ascii="宋体" w:hAnsi="宋体" w:eastAsia="宋体" w:cs="宋体"/>
                <w:color w:val="auto"/>
                <w:kern w:val="0"/>
                <w:sz w:val="14"/>
                <w:szCs w:val="14"/>
                <w:lang w:bidi="ar"/>
              </w:rPr>
            </w:pPr>
          </w:p>
        </w:tc>
        <w:tc>
          <w:tcPr>
            <w:tcW w:w="1280" w:type="dxa"/>
            <w:shd w:val="clear" w:color="auto" w:fill="auto"/>
            <w:noWrap/>
            <w:vAlign w:val="center"/>
          </w:tcPr>
          <w:p>
            <w:pPr>
              <w:widowControl/>
              <w:spacing w:line="400" w:lineRule="exact"/>
              <w:jc w:val="center"/>
              <w:rPr>
                <w:rFonts w:hint="eastAsia" w:ascii="宋体" w:hAnsi="宋体" w:eastAsia="宋体" w:cs="宋体"/>
                <w:color w:val="auto"/>
                <w:kern w:val="0"/>
                <w:sz w:val="14"/>
                <w:szCs w:val="14"/>
                <w:lang w:bidi="ar"/>
              </w:rPr>
            </w:pPr>
          </w:p>
        </w:tc>
        <w:tc>
          <w:tcPr>
            <w:tcW w:w="1276" w:type="dxa"/>
            <w:shd w:val="clear" w:color="auto" w:fill="auto"/>
            <w:noWrap/>
            <w:vAlign w:val="center"/>
          </w:tcPr>
          <w:p>
            <w:pPr>
              <w:widowControl/>
              <w:spacing w:line="400" w:lineRule="exact"/>
              <w:jc w:val="center"/>
              <w:rPr>
                <w:rFonts w:hint="eastAsia" w:ascii="宋体" w:hAnsi="宋体" w:eastAsia="宋体" w:cs="宋体"/>
                <w:color w:val="auto"/>
                <w:kern w:val="0"/>
                <w:sz w:val="14"/>
                <w:szCs w:val="14"/>
                <w:lang w:bidi="ar"/>
              </w:rPr>
            </w:pPr>
          </w:p>
        </w:tc>
        <w:tc>
          <w:tcPr>
            <w:tcW w:w="1276" w:type="dxa"/>
            <w:vAlign w:val="center"/>
          </w:tcPr>
          <w:p>
            <w:pPr>
              <w:widowControl/>
              <w:spacing w:line="400" w:lineRule="exact"/>
              <w:jc w:val="center"/>
              <w:rPr>
                <w:rFonts w:hint="eastAsia" w:ascii="宋体" w:hAnsi="宋体" w:eastAsia="宋体" w:cs="宋体"/>
                <w:b/>
                <w:bCs/>
                <w:color w:val="auto"/>
                <w:kern w:val="0"/>
                <w:sz w:val="24"/>
                <w:szCs w:val="24"/>
              </w:rPr>
            </w:pPr>
          </w:p>
        </w:tc>
        <w:tc>
          <w:tcPr>
            <w:tcW w:w="846" w:type="dxa"/>
            <w:vAlign w:val="center"/>
          </w:tcPr>
          <w:p>
            <w:pPr>
              <w:widowControl/>
              <w:spacing w:line="400" w:lineRule="exact"/>
              <w:jc w:val="center"/>
              <w:rPr>
                <w:rFonts w:hint="eastAsia" w:ascii="宋体" w:hAnsi="宋体" w:eastAsia="宋体" w:cs="宋体"/>
                <w:b/>
                <w:bCs/>
                <w:color w:val="auto"/>
                <w:kern w:val="0"/>
                <w:sz w:val="24"/>
                <w:szCs w:val="24"/>
              </w:rPr>
            </w:pPr>
          </w:p>
        </w:tc>
      </w:tr>
    </w:tbl>
    <w:p>
      <w:pPr>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宋体" w:cs="Times New Roman"/>
          <w:sz w:val="24"/>
          <w:szCs w:val="24"/>
          <w:lang w:val="en-US" w:eastAsia="zh-CN"/>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（1）终结性考核应关注重要知识点和能力点的覆盖面，体现知识的运用能力、解决实际问题的能力、创新思维能力。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2）终结性考核方式包括闭卷笔试、开卷笔试、机考、大作业、报告、口试、答辩、项目成果物等。考核方式的选取应与课程性质特点和教学目标要求相匹配，</w:t>
      </w:r>
      <w:r>
        <w:rPr>
          <w:rFonts w:hint="eastAsia" w:ascii="Times New Roman" w:hAnsi="Times New Roman" w:eastAsia="宋体" w:cs="Times New Roman"/>
          <w:color w:val="FF0000"/>
          <w:sz w:val="24"/>
          <w:szCs w:val="24"/>
          <w:lang w:val="en-US" w:eastAsia="zh-CN"/>
        </w:rPr>
        <w:t>可以是一种方式，也可以是多种考核形式的组合（多种形式组合时，须明确各形式考核的成绩占比）</w:t>
      </w:r>
      <w:r>
        <w:rPr>
          <w:rFonts w:hint="eastAsia" w:ascii="Times New Roman" w:hAnsi="Times New Roman" w:eastAsia="宋体" w:cs="Times New Roman"/>
          <w:sz w:val="24"/>
          <w:szCs w:val="24"/>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（3）考核的知识点或能力从“四、教学内容与要求”中选取，主要选取在终结性考核中需进行考核的重点与难点，</w:t>
      </w:r>
      <w:r>
        <w:rPr>
          <w:rFonts w:hint="eastAsia" w:ascii="Times New Roman" w:hAnsi="Times New Roman" w:eastAsia="宋体" w:cs="Times New Roman"/>
          <w:color w:val="FF0000"/>
          <w:sz w:val="24"/>
          <w:szCs w:val="24"/>
          <w:lang w:val="en-US" w:eastAsia="zh-CN"/>
        </w:rPr>
        <w:t>可以单元为单位选取，也可将不同单元进行组合</w:t>
      </w:r>
      <w:r>
        <w:rPr>
          <w:rFonts w:hint="eastAsia" w:ascii="Times New Roman" w:hAnsi="Times New Roman" w:eastAsia="宋体" w:cs="Times New Roman"/>
          <w:sz w:val="24"/>
          <w:szCs w:val="24"/>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考核要求”主要指题型，考题类型应与知识点和能力点的掌握程度相匹配，选取合适的题型考查重点教学内容。针对大作业、报告、口试、答辩、项目成果物等考核方式，可针对考核的知识点或能力总体进行撰写。</w:t>
      </w:r>
    </w:p>
    <w:p>
      <w:pPr>
        <w:keepNext w:val="0"/>
        <w:keepLines w:val="0"/>
        <w:pageBreakBefore w:val="0"/>
        <w:numPr>
          <w:ilvl w:val="0"/>
          <w:numId w:val="3"/>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加分项</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sz w:val="24"/>
          <w:szCs w:val="24"/>
          <w:lang w:val="en-US" w:eastAsia="zh-CN"/>
        </w:rPr>
        <w:t>加分项为选填项。如果课程有加分，要明确加分规则与标准，保证公平公正。</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八、教学方法与教学手段</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教学方法</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2.</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教学手段</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rPr>
        <w:t>：以学习产出为导向，把线上学习与线下面授有机结合，从学习者视角看教学，重视学生的学习体验，重视教学过程的交互，注重</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教</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与</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学</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的设计。针对不同的教学内容采用不同的教学方法和手段，不能仅仅简单列出教学方法的名称；如果课程各单元教学实施建议中已经涉及，则这部分可以不再重复描述，由任课教师灵活处理。</w:t>
      </w:r>
    </w:p>
    <w:p>
      <w:pPr>
        <w:keepNext w:val="0"/>
        <w:keepLines w:val="0"/>
        <w:pageBreakBefore w:val="0"/>
        <w:kinsoku/>
        <w:wordWrap/>
        <w:overflowPunct/>
        <w:topLinePunct w:val="0"/>
        <w:autoSpaceDE/>
        <w:autoSpaceDN/>
        <w:bidi w:val="0"/>
        <w:adjustRightInd/>
        <w:spacing w:before="340" w:after="330" w:line="560" w:lineRule="exact"/>
        <w:ind w:left="616"/>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九、教材及课程资源</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教材及参考书</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《教材名称》，作者，出版地：出版社，ISBN号，年</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rPr>
        <w:t>月，教材类型。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教材类型</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分为自编讲义、TOPCARES系列教材、省部级规划教材、省部级重点推荐教材、省部级精品教材、国家级规划教材、国家级重点推荐教材、国家级精品教材，自编讲义则无出版地、出版社以及ISBN号</w:t>
      </w:r>
      <w:r>
        <w:rPr>
          <w:rFonts w:hint="eastAsia" w:ascii="Times New Roman" w:hAnsi="Times New Roman" w:eastAsia="宋体" w:cs="Times New Roman"/>
          <w:sz w:val="24"/>
          <w:szCs w:val="28"/>
          <w:lang w:val="en-US" w:eastAsia="zh-CN"/>
        </w:rPr>
        <w:t>等</w:t>
      </w:r>
      <w:r>
        <w:rPr>
          <w:rFonts w:hint="default" w:ascii="Times New Roman" w:hAnsi="Times New Roman" w:eastAsia="宋体" w:cs="Times New Roman"/>
          <w:sz w:val="24"/>
          <w:szCs w:val="28"/>
        </w:rPr>
        <w:t>。</w:t>
      </w:r>
    </w:p>
    <w:p>
      <w:pPr>
        <w:keepNext w:val="0"/>
        <w:keepLines w:val="0"/>
        <w:pageBreakBefore w:val="0"/>
        <w:numPr>
          <w:ilvl w:val="0"/>
          <w:numId w:val="4"/>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课程资源的开发与利用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（1）课程资源能有效的激发学生的学习动机和学习兴趣，课程资源的开发与利用对教师能否上好一门课、学生能否学好一门课并达到预期的学习效果非常重要。</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应结合实际教学需要，以服务课程的教与学为依据，以资源的系统、完整为基本要求，列举出可供学生使用的资源名称；为提高资源使用效果，也可以简要说明资源用途（如巩固复习、拓展学习等）和获取方法等；详细的资源开发规划和资源使用说明文档等可以根据需要形成单独文档。</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（3）任课老师要积极开发并充分利用好课上课下、线上线下的课程资源，为教学活动的有效开展提供支持和帮助，同时在教学过程中有效督促和监控学生充分利用各种课程学习资源。</w:t>
      </w:r>
      <w:bookmarkStart w:id="1" w:name="_Hlk534485811"/>
    </w:p>
    <w:bookmarkEnd w:id="1"/>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十、学习策略与技巧</w:t>
      </w:r>
    </w:p>
    <w:tbl>
      <w:tblPr>
        <w:tblStyle w:val="7"/>
        <w:tblpPr w:leftFromText="180" w:rightFromText="180" w:vertAnchor="text" w:horzAnchor="margin" w:tblpXSpec="center" w:tblpY="105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560"/>
        <w:gridCol w:w="1656"/>
        <w:gridCol w:w="567"/>
        <w:gridCol w:w="567"/>
        <w:gridCol w:w="921"/>
        <w:gridCol w:w="1163"/>
        <w:gridCol w:w="464"/>
        <w:gridCol w:w="55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shd w:val="clear" w:color="auto" w:fill="auto"/>
            <w:noWrap/>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预期学习效果</w:t>
            </w:r>
          </w:p>
        </w:tc>
        <w:tc>
          <w:tcPr>
            <w:tcW w:w="1560"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知识点（群）与技能点（能力）</w:t>
            </w:r>
          </w:p>
        </w:tc>
        <w:tc>
          <w:tcPr>
            <w:tcW w:w="1656"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对应掌握程度</w:t>
            </w:r>
          </w:p>
        </w:tc>
        <w:tc>
          <w:tcPr>
            <w:tcW w:w="567" w:type="dxa"/>
            <w:shd w:val="clear" w:color="auto" w:fill="auto"/>
            <w:noWrap/>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是否重点</w:t>
            </w:r>
          </w:p>
        </w:tc>
        <w:tc>
          <w:tcPr>
            <w:tcW w:w="567" w:type="dxa"/>
            <w:shd w:val="clear" w:color="auto" w:fill="auto"/>
            <w:noWrap/>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难中易</w:t>
            </w:r>
          </w:p>
        </w:tc>
        <w:tc>
          <w:tcPr>
            <w:tcW w:w="921"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代表性学习任务/活动类型</w:t>
            </w:r>
          </w:p>
        </w:tc>
        <w:tc>
          <w:tcPr>
            <w:tcW w:w="1163"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学习任务/活动简要设计</w:t>
            </w:r>
          </w:p>
        </w:tc>
        <w:tc>
          <w:tcPr>
            <w:tcW w:w="464"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起始周</w:t>
            </w:r>
          </w:p>
        </w:tc>
        <w:tc>
          <w:tcPr>
            <w:tcW w:w="552"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结束周</w:t>
            </w:r>
          </w:p>
        </w:tc>
        <w:tc>
          <w:tcPr>
            <w:tcW w:w="1050" w:type="dxa"/>
            <w:vAlign w:val="center"/>
          </w:tcPr>
          <w:p>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学习指导、学习支架设计等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restart"/>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如：掌握数理逻辑、基本集合论、图论基础的基本概念和建模方法，并掌握其重要的工程应用实例。</w:t>
            </w:r>
          </w:p>
        </w:tc>
        <w:tc>
          <w:tcPr>
            <w:tcW w:w="1560"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命题定义</w:t>
            </w:r>
          </w:p>
        </w:tc>
        <w:tc>
          <w:tcPr>
            <w:tcW w:w="1656"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921" w:type="dxa"/>
            <w:vMerge w:val="restart"/>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作业</w:t>
            </w:r>
          </w:p>
        </w:tc>
        <w:tc>
          <w:tcPr>
            <w:tcW w:w="1163" w:type="dxa"/>
            <w:vMerge w:val="restart"/>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按照学习任务实施课堂练习，完成当次课后作业。</w:t>
            </w:r>
          </w:p>
        </w:tc>
        <w:tc>
          <w:tcPr>
            <w:tcW w:w="464" w:type="dxa"/>
            <w:vMerge w:val="restart"/>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w:t>
            </w:r>
          </w:p>
        </w:tc>
        <w:tc>
          <w:tcPr>
            <w:tcW w:w="552" w:type="dxa"/>
            <w:vMerge w:val="restart"/>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8</w:t>
            </w:r>
          </w:p>
        </w:tc>
        <w:tc>
          <w:tcPr>
            <w:tcW w:w="1050" w:type="dxa"/>
            <w:vMerge w:val="restart"/>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课件、视频、作业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逻辑联结词</w:t>
            </w:r>
          </w:p>
        </w:tc>
        <w:tc>
          <w:tcPr>
            <w:tcW w:w="1656"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921"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1163"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464"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552"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1050"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谓词和量词</w:t>
            </w:r>
          </w:p>
        </w:tc>
        <w:tc>
          <w:tcPr>
            <w:tcW w:w="1656"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921"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1163"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464"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552"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1050"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逻辑等价</w:t>
            </w:r>
          </w:p>
        </w:tc>
        <w:tc>
          <w:tcPr>
            <w:tcW w:w="1656"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921"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1163"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464"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552"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1050"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continue"/>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推理规则</w:t>
            </w:r>
          </w:p>
        </w:tc>
        <w:tc>
          <w:tcPr>
            <w:tcW w:w="1656" w:type="dxa"/>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56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921"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1163"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464"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552"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c>
          <w:tcPr>
            <w:tcW w:w="1050" w:type="dxa"/>
            <w:vMerge w:val="continue"/>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pPr>
              <w:widowControl/>
              <w:spacing w:line="400" w:lineRule="exact"/>
              <w:jc w:val="center"/>
              <w:rPr>
                <w:rFonts w:hint="eastAsia" w:ascii="宋体" w:hAnsi="宋体" w:eastAsia="宋体" w:cs="宋体"/>
                <w:b/>
                <w:bCs/>
                <w:color w:val="auto"/>
                <w:kern w:val="0"/>
                <w:sz w:val="24"/>
                <w:szCs w:val="24"/>
              </w:rPr>
            </w:pPr>
          </w:p>
        </w:tc>
        <w:tc>
          <w:tcPr>
            <w:tcW w:w="1656" w:type="dxa"/>
            <w:vAlign w:val="center"/>
          </w:tcPr>
          <w:p>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921" w:type="dxa"/>
            <w:vAlign w:val="center"/>
          </w:tcPr>
          <w:p>
            <w:pPr>
              <w:widowControl/>
              <w:spacing w:line="400" w:lineRule="exact"/>
              <w:jc w:val="center"/>
              <w:rPr>
                <w:rFonts w:hint="eastAsia" w:ascii="宋体" w:hAnsi="宋体" w:eastAsia="宋体" w:cs="宋体"/>
                <w:b/>
                <w:bCs/>
                <w:color w:val="auto"/>
                <w:kern w:val="0"/>
                <w:sz w:val="24"/>
                <w:szCs w:val="24"/>
              </w:rPr>
            </w:pPr>
          </w:p>
        </w:tc>
        <w:tc>
          <w:tcPr>
            <w:tcW w:w="1163" w:type="dxa"/>
            <w:vAlign w:val="center"/>
          </w:tcPr>
          <w:p>
            <w:pPr>
              <w:widowControl/>
              <w:spacing w:line="400" w:lineRule="exact"/>
              <w:jc w:val="center"/>
              <w:rPr>
                <w:rFonts w:hint="eastAsia" w:ascii="宋体" w:hAnsi="宋体" w:eastAsia="宋体" w:cs="宋体"/>
                <w:b/>
                <w:bCs/>
                <w:color w:val="auto"/>
                <w:kern w:val="0"/>
                <w:sz w:val="24"/>
                <w:szCs w:val="24"/>
              </w:rPr>
            </w:pPr>
          </w:p>
        </w:tc>
        <w:tc>
          <w:tcPr>
            <w:tcW w:w="464" w:type="dxa"/>
            <w:vAlign w:val="center"/>
          </w:tcPr>
          <w:p>
            <w:pPr>
              <w:widowControl/>
              <w:spacing w:line="400" w:lineRule="exact"/>
              <w:jc w:val="center"/>
              <w:rPr>
                <w:rFonts w:hint="eastAsia" w:ascii="宋体" w:hAnsi="宋体" w:eastAsia="宋体" w:cs="宋体"/>
                <w:b/>
                <w:bCs/>
                <w:color w:val="auto"/>
                <w:kern w:val="0"/>
                <w:sz w:val="24"/>
                <w:szCs w:val="24"/>
              </w:rPr>
            </w:pPr>
          </w:p>
        </w:tc>
        <w:tc>
          <w:tcPr>
            <w:tcW w:w="552" w:type="dxa"/>
            <w:vAlign w:val="center"/>
          </w:tcPr>
          <w:p>
            <w:pPr>
              <w:widowControl/>
              <w:spacing w:line="400" w:lineRule="exact"/>
              <w:jc w:val="center"/>
              <w:rPr>
                <w:rFonts w:hint="eastAsia" w:ascii="宋体" w:hAnsi="宋体" w:eastAsia="宋体" w:cs="宋体"/>
                <w:b/>
                <w:bCs/>
                <w:color w:val="auto"/>
                <w:kern w:val="0"/>
                <w:sz w:val="24"/>
                <w:szCs w:val="24"/>
              </w:rPr>
            </w:pPr>
          </w:p>
        </w:tc>
        <w:tc>
          <w:tcPr>
            <w:tcW w:w="1050" w:type="dxa"/>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pPr>
              <w:widowControl/>
              <w:spacing w:line="400" w:lineRule="exact"/>
              <w:jc w:val="center"/>
              <w:rPr>
                <w:rFonts w:hint="eastAsia" w:ascii="宋体" w:hAnsi="宋体" w:eastAsia="宋体" w:cs="宋体"/>
                <w:b/>
                <w:bCs/>
                <w:color w:val="auto"/>
                <w:kern w:val="0"/>
                <w:sz w:val="24"/>
                <w:szCs w:val="24"/>
              </w:rPr>
            </w:pPr>
          </w:p>
        </w:tc>
        <w:tc>
          <w:tcPr>
            <w:tcW w:w="1656" w:type="dxa"/>
            <w:vAlign w:val="center"/>
          </w:tcPr>
          <w:p>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921" w:type="dxa"/>
            <w:vAlign w:val="center"/>
          </w:tcPr>
          <w:p>
            <w:pPr>
              <w:widowControl/>
              <w:spacing w:line="400" w:lineRule="exact"/>
              <w:jc w:val="center"/>
              <w:rPr>
                <w:rFonts w:hint="eastAsia" w:ascii="宋体" w:hAnsi="宋体" w:eastAsia="宋体" w:cs="宋体"/>
                <w:b/>
                <w:bCs/>
                <w:color w:val="auto"/>
                <w:kern w:val="0"/>
                <w:sz w:val="24"/>
                <w:szCs w:val="24"/>
              </w:rPr>
            </w:pPr>
          </w:p>
        </w:tc>
        <w:tc>
          <w:tcPr>
            <w:tcW w:w="1163" w:type="dxa"/>
            <w:vAlign w:val="center"/>
          </w:tcPr>
          <w:p>
            <w:pPr>
              <w:widowControl/>
              <w:spacing w:line="400" w:lineRule="exact"/>
              <w:jc w:val="center"/>
              <w:rPr>
                <w:rFonts w:hint="eastAsia" w:ascii="宋体" w:hAnsi="宋体" w:eastAsia="宋体" w:cs="宋体"/>
                <w:b/>
                <w:bCs/>
                <w:color w:val="auto"/>
                <w:kern w:val="0"/>
                <w:sz w:val="24"/>
                <w:szCs w:val="24"/>
              </w:rPr>
            </w:pPr>
          </w:p>
        </w:tc>
        <w:tc>
          <w:tcPr>
            <w:tcW w:w="464" w:type="dxa"/>
            <w:vAlign w:val="center"/>
          </w:tcPr>
          <w:p>
            <w:pPr>
              <w:widowControl/>
              <w:spacing w:line="400" w:lineRule="exact"/>
              <w:jc w:val="center"/>
              <w:rPr>
                <w:rFonts w:hint="eastAsia" w:ascii="宋体" w:hAnsi="宋体" w:eastAsia="宋体" w:cs="宋体"/>
                <w:b/>
                <w:bCs/>
                <w:color w:val="auto"/>
                <w:kern w:val="0"/>
                <w:sz w:val="24"/>
                <w:szCs w:val="24"/>
              </w:rPr>
            </w:pPr>
          </w:p>
        </w:tc>
        <w:tc>
          <w:tcPr>
            <w:tcW w:w="552" w:type="dxa"/>
            <w:vAlign w:val="center"/>
          </w:tcPr>
          <w:p>
            <w:pPr>
              <w:widowControl/>
              <w:spacing w:line="400" w:lineRule="exact"/>
              <w:jc w:val="center"/>
              <w:rPr>
                <w:rFonts w:hint="eastAsia" w:ascii="宋体" w:hAnsi="宋体" w:eastAsia="宋体" w:cs="宋体"/>
                <w:b/>
                <w:bCs/>
                <w:color w:val="auto"/>
                <w:kern w:val="0"/>
                <w:sz w:val="24"/>
                <w:szCs w:val="24"/>
              </w:rPr>
            </w:pPr>
          </w:p>
        </w:tc>
        <w:tc>
          <w:tcPr>
            <w:tcW w:w="1050" w:type="dxa"/>
            <w:vAlign w:val="center"/>
          </w:tcPr>
          <w:p>
            <w:pPr>
              <w:widowControl/>
              <w:spacing w:line="400" w:lineRule="exact"/>
              <w:jc w:val="center"/>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pPr>
              <w:widowControl/>
              <w:spacing w:line="400" w:lineRule="exact"/>
              <w:jc w:val="center"/>
              <w:rPr>
                <w:rFonts w:hint="eastAsia" w:ascii="宋体" w:hAnsi="宋体" w:eastAsia="宋体" w:cs="宋体"/>
                <w:b/>
                <w:bCs/>
                <w:color w:val="auto"/>
                <w:kern w:val="0"/>
                <w:sz w:val="24"/>
                <w:szCs w:val="24"/>
              </w:rPr>
            </w:pPr>
          </w:p>
        </w:tc>
        <w:tc>
          <w:tcPr>
            <w:tcW w:w="1656" w:type="dxa"/>
            <w:vAlign w:val="center"/>
          </w:tcPr>
          <w:p>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pPr>
              <w:widowControl/>
              <w:spacing w:line="400" w:lineRule="exact"/>
              <w:jc w:val="center"/>
              <w:rPr>
                <w:rFonts w:hint="eastAsia" w:ascii="宋体" w:hAnsi="宋体" w:eastAsia="宋体" w:cs="宋体"/>
                <w:b/>
                <w:bCs/>
                <w:color w:val="auto"/>
                <w:kern w:val="0"/>
                <w:sz w:val="24"/>
                <w:szCs w:val="24"/>
              </w:rPr>
            </w:pPr>
          </w:p>
        </w:tc>
        <w:tc>
          <w:tcPr>
            <w:tcW w:w="921" w:type="dxa"/>
            <w:vAlign w:val="center"/>
          </w:tcPr>
          <w:p>
            <w:pPr>
              <w:widowControl/>
              <w:spacing w:line="400" w:lineRule="exact"/>
              <w:jc w:val="center"/>
              <w:rPr>
                <w:rFonts w:hint="eastAsia" w:ascii="宋体" w:hAnsi="宋体" w:eastAsia="宋体" w:cs="宋体"/>
                <w:b/>
                <w:bCs/>
                <w:color w:val="auto"/>
                <w:kern w:val="0"/>
                <w:sz w:val="24"/>
                <w:szCs w:val="24"/>
              </w:rPr>
            </w:pPr>
          </w:p>
        </w:tc>
        <w:tc>
          <w:tcPr>
            <w:tcW w:w="1163" w:type="dxa"/>
            <w:vAlign w:val="center"/>
          </w:tcPr>
          <w:p>
            <w:pPr>
              <w:widowControl/>
              <w:spacing w:line="400" w:lineRule="exact"/>
              <w:jc w:val="center"/>
              <w:rPr>
                <w:rFonts w:hint="eastAsia" w:ascii="宋体" w:hAnsi="宋体" w:eastAsia="宋体" w:cs="宋体"/>
                <w:b/>
                <w:bCs/>
                <w:color w:val="auto"/>
                <w:kern w:val="0"/>
                <w:sz w:val="24"/>
                <w:szCs w:val="24"/>
              </w:rPr>
            </w:pPr>
          </w:p>
        </w:tc>
        <w:tc>
          <w:tcPr>
            <w:tcW w:w="464" w:type="dxa"/>
            <w:vAlign w:val="center"/>
          </w:tcPr>
          <w:p>
            <w:pPr>
              <w:widowControl/>
              <w:spacing w:line="400" w:lineRule="exact"/>
              <w:jc w:val="center"/>
              <w:rPr>
                <w:rFonts w:hint="eastAsia" w:ascii="宋体" w:hAnsi="宋体" w:eastAsia="宋体" w:cs="宋体"/>
                <w:b/>
                <w:bCs/>
                <w:color w:val="auto"/>
                <w:kern w:val="0"/>
                <w:sz w:val="24"/>
                <w:szCs w:val="24"/>
              </w:rPr>
            </w:pPr>
          </w:p>
        </w:tc>
        <w:tc>
          <w:tcPr>
            <w:tcW w:w="552" w:type="dxa"/>
            <w:vAlign w:val="center"/>
          </w:tcPr>
          <w:p>
            <w:pPr>
              <w:widowControl/>
              <w:spacing w:line="400" w:lineRule="exact"/>
              <w:jc w:val="center"/>
              <w:rPr>
                <w:rFonts w:hint="eastAsia" w:ascii="宋体" w:hAnsi="宋体" w:eastAsia="宋体" w:cs="宋体"/>
                <w:b/>
                <w:bCs/>
                <w:color w:val="auto"/>
                <w:kern w:val="0"/>
                <w:sz w:val="24"/>
                <w:szCs w:val="24"/>
              </w:rPr>
            </w:pPr>
          </w:p>
        </w:tc>
        <w:tc>
          <w:tcPr>
            <w:tcW w:w="1050" w:type="dxa"/>
            <w:vAlign w:val="center"/>
          </w:tcPr>
          <w:p>
            <w:pPr>
              <w:widowControl/>
              <w:spacing w:line="400" w:lineRule="exact"/>
              <w:jc w:val="center"/>
              <w:rPr>
                <w:rFonts w:hint="eastAsia" w:ascii="宋体" w:hAnsi="宋体" w:eastAsia="宋体" w:cs="宋体"/>
                <w:b/>
                <w:bCs/>
                <w:color w:val="auto"/>
                <w:kern w:val="0"/>
                <w:sz w:val="24"/>
                <w:szCs w:val="24"/>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（1）学习策略与技巧是引导学生按要求学习、主动学习、高效学习的前提和基础，是为促进学生学习提出的要求和建议</w:t>
      </w:r>
      <w:bookmarkStart w:id="2" w:name="_Hlk534481604"/>
      <w:r>
        <w:rPr>
          <w:rFonts w:hint="default" w:ascii="Times New Roman" w:hAnsi="Times New Roman" w:eastAsia="宋体" w:cs="Times New Roman"/>
          <w:sz w:val="24"/>
          <w:szCs w:val="28"/>
        </w:rPr>
        <w:t>，主要阅读对象应为学生</w:t>
      </w:r>
      <w:bookmarkEnd w:id="2"/>
      <w:r>
        <w:rPr>
          <w:rFonts w:hint="default"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应采用多种方式为学生自主个性化学习提供足够的支持与指导，包括但不限于学习方法指导、课堂考勤、课程答疑、未提交作业或错过测验补救、学术诚信与学生助教机制等，指导学生高效获取并使用线上线下的学习资源，提高学习效果。</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（3）关注学习困难学生，为其提供支持以顺利完成课程学习。</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eastAsia="zh-CN"/>
        </w:rPr>
        <w:t>（</w:t>
      </w:r>
      <w:r>
        <w:rPr>
          <w:rFonts w:hint="eastAsia" w:ascii="Times New Roman" w:hAnsi="Times New Roman" w:eastAsia="宋体" w:cs="Times New Roman"/>
          <w:sz w:val="24"/>
          <w:szCs w:val="28"/>
          <w:lang w:val="en-US" w:eastAsia="zh-CN"/>
        </w:rPr>
        <w:t>4）</w:t>
      </w:r>
      <w:r>
        <w:rPr>
          <w:rFonts w:hint="eastAsia" w:ascii="Times New Roman" w:hAnsi="Times New Roman" w:eastAsia="宋体" w:cs="Times New Roman"/>
          <w:color w:val="FF0000"/>
          <w:sz w:val="24"/>
          <w:szCs w:val="28"/>
          <w:lang w:val="en-US" w:eastAsia="zh-CN"/>
        </w:rPr>
        <w:t>学习任务类型主要包括作业、练习、测验、实验、设计、报告等。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（5）</w:t>
      </w:r>
      <w:r>
        <w:rPr>
          <w:rFonts w:hint="eastAsia" w:ascii="Times New Roman" w:hAnsi="Times New Roman" w:eastAsia="宋体" w:cs="Times New Roman"/>
          <w:color w:val="FF0000"/>
          <w:sz w:val="24"/>
          <w:szCs w:val="28"/>
          <w:lang w:val="en-US" w:eastAsia="zh-CN"/>
        </w:rPr>
        <w:t>学习任务分解细化到每1项任务的每1次教学活动。</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十一、课程</w:t>
      </w:r>
      <w:bookmarkStart w:id="3" w:name="_GoBack"/>
      <w:bookmarkEnd w:id="3"/>
      <w:r>
        <w:rPr>
          <w:rFonts w:hint="default" w:ascii="Times New Roman" w:hAnsi="Times New Roman" w:eastAsia="宋体" w:cs="Times New Roman"/>
          <w:b/>
          <w:sz w:val="30"/>
          <w:szCs w:val="30"/>
        </w:rPr>
        <w:t>教学基本条件</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任课教师基本要求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 xml:space="preserve">主要是对课程负责人、课程专兼职教师应具备的学术水平、教学水平提出的基本要求。 </w:t>
      </w:r>
    </w:p>
    <w:p>
      <w:pPr>
        <w:keepNext w:val="0"/>
        <w:keepLines w:val="0"/>
        <w:pageBreakBefore w:val="0"/>
        <w:numPr>
          <w:ilvl w:val="0"/>
          <w:numId w:val="5"/>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教学设施要求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主要包括对授课教室、实验/实训室等教学设施的基本要求。</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十二、质量保障措施</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（1）质量保障措施是为了达到课程预期目标而进行的、过程性的自我监控与改进。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（2）质量保障措施应能有效检验学生阶段学习目标达成情况，对学生的学习过程进行跟踪、反馈，及时对课程实施进行反思和改进。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w:t>
      </w:r>
      <w:r>
        <w:rPr>
          <w:rFonts w:hint="eastAsia" w:ascii="Times New Roman" w:hAnsi="Times New Roman" w:eastAsia="宋体" w:cs="Times New Roman"/>
          <w:sz w:val="24"/>
          <w:szCs w:val="28"/>
          <w:lang w:val="en-US" w:eastAsia="zh-CN"/>
        </w:rPr>
        <w:t>3</w:t>
      </w:r>
      <w:r>
        <w:rPr>
          <w:rFonts w:hint="default" w:ascii="Times New Roman" w:hAnsi="Times New Roman" w:eastAsia="宋体" w:cs="Times New Roman"/>
          <w:sz w:val="24"/>
          <w:szCs w:val="28"/>
        </w:rPr>
        <w:t>）混合式教学改革的质量保障更重视线上、线下相结合，通过对课前学习情况、课中教学情况及课后练习情况开展追踪评价，以客观了解教学效果，及时调整教学安排，最大限度激发学生学习的积极性与主观能动性的发挥，同时要注重教学过程动态数据的收集与积累，做好分析总结和持续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rPr>
        <w:t>（</w:t>
      </w:r>
      <w:r>
        <w:rPr>
          <w:rFonts w:hint="eastAsia" w:ascii="Times New Roman" w:hAnsi="Times New Roman" w:eastAsia="宋体" w:cs="Times New Roman"/>
          <w:sz w:val="24"/>
          <w:szCs w:val="28"/>
          <w:lang w:val="en-US" w:eastAsia="zh-CN"/>
        </w:rPr>
        <w:t>4</w:t>
      </w:r>
      <w:r>
        <w:rPr>
          <w:rFonts w:hint="default" w:ascii="Times New Roman" w:hAnsi="Times New Roman" w:eastAsia="宋体" w:cs="Times New Roman"/>
          <w:sz w:val="24"/>
          <w:szCs w:val="28"/>
        </w:rPr>
        <w:t>）应结合本课程提出切实可行的措施，注重关键、薄弱环节</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如阶段考核效果、学生线上线下的自主学习情况等</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的有效监控与保障。</w:t>
      </w:r>
    </w:p>
    <w:sectPr>
      <w:footerReference r:id="rId3" w:type="default"/>
      <w:pgSz w:w="11906" w:h="16838"/>
      <w:pgMar w:top="1440" w:right="839" w:bottom="1440" w:left="83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思源黑体 CN Normal">
    <w:altName w:val="微软雅黑"/>
    <w:panose1 w:val="00000000000000000000"/>
    <w:charset w:val="86"/>
    <w:family w:val="swiss"/>
    <w:pitch w:val="default"/>
    <w:sig w:usb0="00000000" w:usb1="00000000" w:usb2="00000016" w:usb3="00000000" w:csb0="00060107"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19357"/>
    <w:multiLevelType w:val="singleLevel"/>
    <w:tmpl w:val="DD319357"/>
    <w:lvl w:ilvl="0" w:tentative="0">
      <w:start w:val="2"/>
      <w:numFmt w:val="decimal"/>
      <w:suff w:val="space"/>
      <w:lvlText w:val="%1."/>
      <w:lvlJc w:val="left"/>
    </w:lvl>
  </w:abstractNum>
  <w:abstractNum w:abstractNumId="1">
    <w:nsid w:val="1E574F73"/>
    <w:multiLevelType w:val="singleLevel"/>
    <w:tmpl w:val="1E574F73"/>
    <w:lvl w:ilvl="0" w:tentative="0">
      <w:start w:val="2"/>
      <w:numFmt w:val="decimal"/>
      <w:suff w:val="space"/>
      <w:lvlText w:val="%1."/>
      <w:lvlJc w:val="left"/>
    </w:lvl>
  </w:abstractNum>
  <w:abstractNum w:abstractNumId="2">
    <w:nsid w:val="2B468B7A"/>
    <w:multiLevelType w:val="singleLevel"/>
    <w:tmpl w:val="2B468B7A"/>
    <w:lvl w:ilvl="0" w:tentative="0">
      <w:start w:val="6"/>
      <w:numFmt w:val="decimal"/>
      <w:suff w:val="space"/>
      <w:lvlText w:val="%1."/>
      <w:lvlJc w:val="left"/>
      <w:rPr>
        <w:rFonts w:hint="default"/>
        <w:b/>
        <w:bCs/>
      </w:rPr>
    </w:lvl>
  </w:abstractNum>
  <w:abstractNum w:abstractNumId="3">
    <w:nsid w:val="2E7B94AF"/>
    <w:multiLevelType w:val="singleLevel"/>
    <w:tmpl w:val="2E7B94AF"/>
    <w:lvl w:ilvl="0" w:tentative="0">
      <w:start w:val="2"/>
      <w:numFmt w:val="decimal"/>
      <w:suff w:val="space"/>
      <w:lvlText w:val="%1."/>
      <w:lvlJc w:val="left"/>
    </w:lvl>
  </w:abstractNum>
  <w:abstractNum w:abstractNumId="4">
    <w:nsid w:val="5B4C34E5"/>
    <w:multiLevelType w:val="singleLevel"/>
    <w:tmpl w:val="5B4C34E5"/>
    <w:lvl w:ilvl="0" w:tentative="0">
      <w:start w:val="2"/>
      <w:numFmt w:val="decimal"/>
      <w:suff w:val="space"/>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YWQwMzBkY2I4YTkxNGJmODJmNmNkMjVhYzMwMzEifQ=="/>
  </w:docVars>
  <w:rsids>
    <w:rsidRoot w:val="00000000"/>
    <w:rsid w:val="010B3B8C"/>
    <w:rsid w:val="024473C3"/>
    <w:rsid w:val="026B3007"/>
    <w:rsid w:val="02E24306"/>
    <w:rsid w:val="03407C53"/>
    <w:rsid w:val="04365896"/>
    <w:rsid w:val="04DA41D1"/>
    <w:rsid w:val="04EE2531"/>
    <w:rsid w:val="04F90435"/>
    <w:rsid w:val="05053B26"/>
    <w:rsid w:val="06B44EDA"/>
    <w:rsid w:val="06CF7A92"/>
    <w:rsid w:val="08864DAD"/>
    <w:rsid w:val="08BB4E6E"/>
    <w:rsid w:val="092E5F21"/>
    <w:rsid w:val="0A166394"/>
    <w:rsid w:val="0B2B0E28"/>
    <w:rsid w:val="0BCA7353"/>
    <w:rsid w:val="0C4A0131"/>
    <w:rsid w:val="0C953EE4"/>
    <w:rsid w:val="0D927DA9"/>
    <w:rsid w:val="0E227CC8"/>
    <w:rsid w:val="0F133E8D"/>
    <w:rsid w:val="0F744757"/>
    <w:rsid w:val="0F8A7343"/>
    <w:rsid w:val="10327F45"/>
    <w:rsid w:val="107C63BF"/>
    <w:rsid w:val="134923CA"/>
    <w:rsid w:val="13727D5F"/>
    <w:rsid w:val="145D3AC1"/>
    <w:rsid w:val="150F2D79"/>
    <w:rsid w:val="15B72492"/>
    <w:rsid w:val="162A207C"/>
    <w:rsid w:val="182422DD"/>
    <w:rsid w:val="18412746"/>
    <w:rsid w:val="18B354E1"/>
    <w:rsid w:val="192772C9"/>
    <w:rsid w:val="19C71013"/>
    <w:rsid w:val="19FA3E61"/>
    <w:rsid w:val="1A8F5280"/>
    <w:rsid w:val="1B2C3C9B"/>
    <w:rsid w:val="1BB50563"/>
    <w:rsid w:val="1CEB4875"/>
    <w:rsid w:val="1CF33ECD"/>
    <w:rsid w:val="1D0258A9"/>
    <w:rsid w:val="1E092998"/>
    <w:rsid w:val="1E5D76B7"/>
    <w:rsid w:val="1F395ED5"/>
    <w:rsid w:val="1F6D7F66"/>
    <w:rsid w:val="1F6E7F21"/>
    <w:rsid w:val="207F096F"/>
    <w:rsid w:val="211673BD"/>
    <w:rsid w:val="21603379"/>
    <w:rsid w:val="21E64000"/>
    <w:rsid w:val="23790152"/>
    <w:rsid w:val="259A3AD3"/>
    <w:rsid w:val="25B9557A"/>
    <w:rsid w:val="25D32AED"/>
    <w:rsid w:val="269B7AAF"/>
    <w:rsid w:val="27604292"/>
    <w:rsid w:val="276D1D14"/>
    <w:rsid w:val="27C82E0F"/>
    <w:rsid w:val="27E82396"/>
    <w:rsid w:val="283A5862"/>
    <w:rsid w:val="2895052E"/>
    <w:rsid w:val="294221B3"/>
    <w:rsid w:val="29C251D6"/>
    <w:rsid w:val="2D0631B4"/>
    <w:rsid w:val="2F267493"/>
    <w:rsid w:val="2F92551B"/>
    <w:rsid w:val="308275EA"/>
    <w:rsid w:val="30C6278A"/>
    <w:rsid w:val="310B1C7D"/>
    <w:rsid w:val="33267E73"/>
    <w:rsid w:val="345B0D29"/>
    <w:rsid w:val="36631C6B"/>
    <w:rsid w:val="36E113BA"/>
    <w:rsid w:val="385E57DD"/>
    <w:rsid w:val="38655C39"/>
    <w:rsid w:val="39106FA4"/>
    <w:rsid w:val="39241D31"/>
    <w:rsid w:val="393751F4"/>
    <w:rsid w:val="39C914F8"/>
    <w:rsid w:val="3A2E2130"/>
    <w:rsid w:val="3A55744D"/>
    <w:rsid w:val="3A5F6E5C"/>
    <w:rsid w:val="3A7C224E"/>
    <w:rsid w:val="3B6620EF"/>
    <w:rsid w:val="3BEC5F37"/>
    <w:rsid w:val="3C7B1070"/>
    <w:rsid w:val="3CF05C0B"/>
    <w:rsid w:val="3D8E2797"/>
    <w:rsid w:val="3E097539"/>
    <w:rsid w:val="3E54402B"/>
    <w:rsid w:val="3E8D5110"/>
    <w:rsid w:val="40882363"/>
    <w:rsid w:val="40C052D1"/>
    <w:rsid w:val="40CC3D22"/>
    <w:rsid w:val="417F1907"/>
    <w:rsid w:val="41A3628D"/>
    <w:rsid w:val="422150A7"/>
    <w:rsid w:val="42471B37"/>
    <w:rsid w:val="42FD6ABE"/>
    <w:rsid w:val="43B77FB5"/>
    <w:rsid w:val="44462572"/>
    <w:rsid w:val="46491BA7"/>
    <w:rsid w:val="47E46302"/>
    <w:rsid w:val="4AC62A9D"/>
    <w:rsid w:val="4BB16CD5"/>
    <w:rsid w:val="4C013661"/>
    <w:rsid w:val="4D573F7D"/>
    <w:rsid w:val="4F7800DE"/>
    <w:rsid w:val="502F5BD7"/>
    <w:rsid w:val="505A58A5"/>
    <w:rsid w:val="51454F74"/>
    <w:rsid w:val="51D51A8E"/>
    <w:rsid w:val="52753158"/>
    <w:rsid w:val="53317146"/>
    <w:rsid w:val="533F5172"/>
    <w:rsid w:val="535E38B8"/>
    <w:rsid w:val="542575B6"/>
    <w:rsid w:val="55DE2EB4"/>
    <w:rsid w:val="57657F14"/>
    <w:rsid w:val="57DE484E"/>
    <w:rsid w:val="587C7D30"/>
    <w:rsid w:val="59765C62"/>
    <w:rsid w:val="5B05491D"/>
    <w:rsid w:val="5BEB0721"/>
    <w:rsid w:val="5CCB3F43"/>
    <w:rsid w:val="5DD20102"/>
    <w:rsid w:val="5DFA485B"/>
    <w:rsid w:val="5E076A07"/>
    <w:rsid w:val="5FBA6B25"/>
    <w:rsid w:val="600A0F5C"/>
    <w:rsid w:val="6127608A"/>
    <w:rsid w:val="61576C68"/>
    <w:rsid w:val="62132462"/>
    <w:rsid w:val="629B6165"/>
    <w:rsid w:val="63071A4D"/>
    <w:rsid w:val="63211C93"/>
    <w:rsid w:val="633B4316"/>
    <w:rsid w:val="63E36016"/>
    <w:rsid w:val="677671A1"/>
    <w:rsid w:val="67B325C4"/>
    <w:rsid w:val="68AE3E4B"/>
    <w:rsid w:val="694557FB"/>
    <w:rsid w:val="6A4C6032"/>
    <w:rsid w:val="6ACE0429"/>
    <w:rsid w:val="6B6B5058"/>
    <w:rsid w:val="6B8065D7"/>
    <w:rsid w:val="6BE1725D"/>
    <w:rsid w:val="6EA57DCB"/>
    <w:rsid w:val="7053639E"/>
    <w:rsid w:val="70D8620A"/>
    <w:rsid w:val="71E25B79"/>
    <w:rsid w:val="72671B51"/>
    <w:rsid w:val="72CD11DC"/>
    <w:rsid w:val="73751C5E"/>
    <w:rsid w:val="73B557B5"/>
    <w:rsid w:val="740B62C5"/>
    <w:rsid w:val="74D903DB"/>
    <w:rsid w:val="76E86751"/>
    <w:rsid w:val="77991139"/>
    <w:rsid w:val="788363F5"/>
    <w:rsid w:val="7A21060B"/>
    <w:rsid w:val="7ADD0890"/>
    <w:rsid w:val="7CE12BC6"/>
    <w:rsid w:val="7D2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6827</Words>
  <Characters>7518</Characters>
  <Lines>0</Lines>
  <Paragraphs>0</Paragraphs>
  <TotalTime>4</TotalTime>
  <ScaleCrop>false</ScaleCrop>
  <LinksUpToDate>false</LinksUpToDate>
  <CharactersWithSpaces>7568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2020-09-21T00:43:00Z</dcterms:created>
  <dc:creator>admin</dc:creator>
  <cp:lastModifiedBy>AuFDaS</cp:lastModifiedBy>
  <cp:lastPrinted>2023-06-01T01:42:00Z</cp:lastPrinted>
  <dcterms:modified xsi:type="dcterms:W3CDTF">2024-06-12T08:11:16Z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B675DA1F61044D66BBC581EF41525C7D</vt:lpwstr>
  </property>
</Properties>
</file>