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 w:line="400" w:lineRule="exact"/>
        <w:ind w:firstLine="723" w:firstLineChars="200"/>
        <w:jc w:val="center"/>
        <w:outlineLvl w:val="0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</w:pPr>
      <w:bookmarkStart w:id="0" w:name="_Toc526856321"/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《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XXXX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》（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2021级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）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专业人才培养方案</w:t>
      </w:r>
    </w:p>
    <w:p>
      <w:pPr>
        <w:snapToGrid w:val="0"/>
        <w:spacing w:before="312" w:beforeLines="100" w:after="312" w:afterLines="100" w:line="400" w:lineRule="exact"/>
        <w:ind w:firstLine="602" w:firstLineChars="200"/>
        <w:outlineLvl w:val="0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前言</w:t>
      </w:r>
      <w:bookmarkEnd w:id="0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" w:name="_Toc526856322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/>
        </w:rPr>
        <w:t>一、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专业基本信息</w:t>
      </w:r>
      <w:bookmarkEnd w:id="1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专业代码： 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所属院系：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" w:name="_Toc526856323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二、入学要求</w:t>
      </w:r>
      <w:bookmarkEnd w:id="2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注意不同生源情况（普通高级中学毕业、中等职业学校毕业或具备同等学力）；对生源的文科、理科、艺术等基础要求等。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" w:name="_Toc526856324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三、学制与学位</w:t>
      </w:r>
      <w:bookmarkEnd w:id="3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基本学制：四年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修业年限：3-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授予学位：*****学士学位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4" w:name="_Toc526856325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四、服务面向</w:t>
      </w:r>
      <w:bookmarkEnd w:id="4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服务面向是对专业大类与专业类、对应行业、主要职业和岗位类别及职业资格的表述，应体现出专业与行业、专业与职业、专业与岗位的对应关系（根据各专业对应行业、企业的调研确定职业岗位群）。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5" w:name="_Toc526856326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五、培养目标</w:t>
      </w:r>
      <w:bookmarkEnd w:id="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本专业培养德、智、体、美、劳全面发展，践行社会主义核心价值观，具有良好的职业道德和人文素养，具备……，信息化时代的终身学习能力，面向……领域（行业），能够……任务，从事……人才。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1．培养目标能反映学生毕业后5年左右在社会与专业领域预期能够取得的成就。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各专业人才培养目标应紧密围绕学校人才培养总体目标定位，以应用型人才培养为核心进行凝练。主要从应掌握的基本理论（或“知识”）、应具备的基本技能（或“能力”）、应具有基本素质（或“素养”）、就业面向等方面进行描述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6" w:name="_Toc526856327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六、培养规格</w:t>
      </w:r>
      <w:bookmarkEnd w:id="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7" w:name="_Toc526856328"/>
      <w:bookmarkStart w:id="8" w:name="_Toc23578"/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培养规格主要是对毕业要求、TOPCARES能力指标的分类实例化。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（一）素质</w:t>
      </w:r>
      <w:bookmarkEnd w:id="7"/>
      <w:bookmarkEnd w:id="8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1．思想政治素质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（1）热爱社会主义祖国，能够准确理解和把握社会主义核心价值观的内涵和实践要求，具有正确的世界观、人生观、价值观；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（2）能够正确认识时代责任和历史使命，用中国梦激扬青春梦，自觉把个人的理想追求融入国家和民族事业。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2．文化素质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（1）具有合理的知识结构和一定的知识储备；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（2）具有更新知识和自我完善的学习欲望和良好的学习习惯；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（3）具有主动承担责任的态度；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（4）具有遵章守纪、按规办事的习惯；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（5）尊重自己，尊重他人，尊重科学，具有一定的人文、艺术修养与审美能力。</w:t>
      </w:r>
      <w:bookmarkStart w:id="9" w:name="page5"/>
      <w:bookmarkEnd w:id="9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（6）具有良好的信息素养（能够判断什么时候需要信息，并且懂得如何去获取信息，如何去评价和有效利用所需的信息）。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3．职业素质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（1）具有较强的组织观念、集体意识和良好的分享态度，能够进行有效的人际沟通和协作；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（2）具有创新意识和创新精神以及对技术的探究意识，能够解决实际问题；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（3）具有良好的职业道德与职业操守，能够保守商业机密；具有较强的质量意识和安全意识；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（4）具有大局观，能够理解企业战略和适应企业文化；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（5）具有职业生涯规划设计和实施的意识；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（6）具有一定的工程意识和效益意识，对岗位工作任务具有较强的领悟性、系统性、条理性，能够积累和学习。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4．身心素质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（1）具有良好的体育锻炼和卫生习惯，达到《国家学生体质健康标准》；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（2）拥有积极的人生态度和良好的心理调适能力。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5647"/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1" w:name="_Toc526856329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（二）知识</w:t>
      </w:r>
      <w:bookmarkEnd w:id="10"/>
      <w:bookmarkEnd w:id="11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2" w:name="page6"/>
      <w:bookmarkEnd w:id="1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1．文化基础知识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（1）掌握一定的思想政治理论、法律知识；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（2）了解一定的中国传统文化，掌握常见应用文写作知识。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2．专业基础知识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3．专业核心知识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3" w:name="_Toc526856330"/>
      <w:bookmarkStart w:id="14" w:name="_Toc1806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（三）能力</w:t>
      </w:r>
      <w:bookmarkEnd w:id="13"/>
      <w:bookmarkEnd w:id="14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1．专业（职业）基本能力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2．专业核心能力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3．其它能力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具有良好的信息化环境下的自主学习、协作学习能力。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5" w:name="_Toc526856331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七、TOPCARES专业人才培养模式、专业特色与能力指标</w:t>
      </w:r>
      <w:bookmarkEnd w:id="1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基于TOPCARES方法学/混合式教育改革，结合学校的办学定位、本专业特色及毕业要求和培养目标如何达成的细节进行描述。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6" w:name="_Toc52685633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（一）专业人才培养模式</w:t>
      </w:r>
      <w:bookmarkEnd w:id="1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包括方法学、模式、手段、技术、环境、机制、体制等。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建议简要说明本专业混合式教育的一体化设计思路（比如：本专业人才培养课程、项目、活动、毕业设计等各环节混合式教育的整体设计、各学年/学期的混合式教育系统化设计）。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7" w:name="_Toc52685633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（二）专业特色</w:t>
      </w:r>
      <w:bookmarkEnd w:id="17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区分国内外高水平、同层次、同类专业；重点描述本专业优势与特色。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8" w:name="_Toc526856334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（三）专业人才培养能力指标</w:t>
      </w:r>
      <w:bookmarkEnd w:id="18"/>
    </w:p>
    <w:tbl>
      <w:tblPr>
        <w:tblStyle w:val="14"/>
        <w:tblW w:w="963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842"/>
        <w:gridCol w:w="1836"/>
        <w:gridCol w:w="1842"/>
        <w:gridCol w:w="2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（1级能力指标）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（2级能力指标）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（3级能力指标）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专业人才培养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核心能力指标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70C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重要指标项标“*”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1．专业人才培养能力指标应支撑专业培养目标和毕业要求的达成，并对混合式教育要求的信息化素养、学生自主学习及协作学习能力等有较好的支撑。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2．在TOPCARES通用能力指标体系指导下，结合各专业人才培养应该达到的能力进行描述。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3．能力指标的选取和指标点的描述必须科学、客观、具体，防止泛化、分散。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4．建立专业能力指标与达成这些能力的课程、项目、活动、实践的映射关系。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9" w:name="_Toc526856335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八、毕业学分要求</w:t>
      </w:r>
      <w:bookmarkEnd w:id="19"/>
    </w:p>
    <w:p>
      <w:pPr>
        <w:spacing w:line="400" w:lineRule="exact"/>
        <w:ind w:firstLine="55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本专业学生毕业时应达到学校对本科生提出的德智体美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全面发展的要求，总修读学分不少于***学分。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大学生体质健康测试成绩须达50分。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各类课程应修最低学分见下表：</w:t>
      </w:r>
    </w:p>
    <w:tbl>
      <w:tblPr>
        <w:tblStyle w:val="14"/>
        <w:tblpPr w:leftFromText="180" w:rightFromText="180" w:vertAnchor="text" w:tblpXSpec="center" w:tblpY="28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344"/>
        <w:gridCol w:w="1417"/>
        <w:gridCol w:w="1560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课程结构</w:t>
            </w: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必修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通识选修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通识课程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学科及专业基础课程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集中实践环节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备注：创新创业及素质教育类课程包含在通识课程中。其中创新创业必修课程***学分，创新创业及素质教育实践要求***学分，创新创业通识选修课程***学分，共计***学分。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0" w:name="_Toc526856336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九、课程设置及学时学分安排</w:t>
      </w:r>
      <w:bookmarkEnd w:id="20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1" w:name="_Toc52685633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（一）专业核心课程设置</w:t>
      </w:r>
      <w:bookmarkEnd w:id="21"/>
    </w:p>
    <w:tbl>
      <w:tblPr>
        <w:tblStyle w:val="14"/>
        <w:tblW w:w="46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79"/>
        <w:gridCol w:w="3921"/>
        <w:gridCol w:w="1738"/>
        <w:gridCol w:w="1527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 w:line="400" w:lineRule="exact"/>
        <w:ind w:firstLine="531" w:firstLineChars="18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2" w:name="_Toc526856338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（二）专业项目设置</w:t>
      </w:r>
      <w:bookmarkEnd w:id="22"/>
    </w:p>
    <w:tbl>
      <w:tblPr>
        <w:tblStyle w:val="14"/>
        <w:tblpPr w:leftFromText="180" w:rightFromText="180" w:vertAnchor="text" w:horzAnchor="page" w:tblpX="2077" w:tblpY="222"/>
        <w:tblW w:w="46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61"/>
        <w:gridCol w:w="1904"/>
        <w:gridCol w:w="1876"/>
        <w:gridCol w:w="1215"/>
        <w:gridCol w:w="130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项目等级</w:t>
            </w: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项目代码</w:t>
            </w: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学期</w:t>
            </w: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对应主要课程名称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备注：只填写本专业一、二级项目和单独设置学分的三级项目。</w:t>
      </w:r>
    </w:p>
    <w:p>
      <w:pPr>
        <w:snapToGrid w:val="0"/>
        <w:spacing w:before="156" w:beforeLines="50" w:after="156" w:afterLines="50" w:line="400" w:lineRule="exact"/>
        <w:ind w:firstLine="453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3" w:name="_Toc526856339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521335</wp:posOffset>
            </wp:positionV>
            <wp:extent cx="6410960" cy="3289300"/>
            <wp:effectExtent l="0" t="0" r="8890" b="635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CE8CF"/>
                        </a:clrFrom>
                        <a:clrTo>
                          <a:srgbClr val="CCE8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（三）项目导向的专业课程能力培养鱼骨图</w:t>
      </w:r>
      <w:bookmarkEnd w:id="23"/>
    </w:p>
    <w:p>
      <w:pPr>
        <w:snapToGrid w:val="0"/>
        <w:spacing w:before="156" w:beforeLines="50" w:after="156" w:afterLines="50" w:line="400" w:lineRule="exact"/>
        <w:ind w:firstLine="531" w:firstLineChars="189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snapToGrid w:val="0"/>
        <w:spacing w:line="360" w:lineRule="auto"/>
        <w:ind w:firstLine="453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4" w:name="_Toc526856340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510540</wp:posOffset>
            </wp:positionV>
            <wp:extent cx="5852160" cy="292100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CE8CF"/>
                        </a:clrFrom>
                        <a:clrTo>
                          <a:srgbClr val="CCE8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2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（四）课程设置与主要职业岗位对应关系链路图</w:t>
      </w:r>
      <w:bookmarkEnd w:id="24"/>
    </w:p>
    <w:p>
      <w:pPr>
        <w:snapToGrid w:val="0"/>
        <w:spacing w:before="156" w:beforeLines="50" w:after="156" w:afterLines="50" w:line="400" w:lineRule="exact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5" w:name="_Toc526856341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（五）培养计划课程设置进程表</w:t>
      </w:r>
      <w:bookmarkEnd w:id="25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培养计划课程设置进程表详见《2021级XXXX专业教学计划进程表》。（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需结合实际另附表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6" w:name="_Toc52685634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（六）实践教育教学环节</w:t>
      </w:r>
      <w:bookmarkEnd w:id="26"/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主要包括实验、实训、实习、企业项目开发实训、证书、创新创业及素质教育实践，社会实践、毕业设计（论文/毕业作品）等。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建议在实践教育环节中，体现培养目标中德智体美劳的“劳”。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1．课程实验教学进程表</w:t>
      </w:r>
    </w:p>
    <w:tbl>
      <w:tblPr>
        <w:tblStyle w:val="14"/>
        <w:tblW w:w="8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81"/>
        <w:gridCol w:w="1519"/>
        <w:gridCol w:w="1681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实验学时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备注：工学专业必填、其他专业根据专业具体情况选填。</w:t>
      </w: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2．集中实践环节教学进程表</w:t>
      </w:r>
    </w:p>
    <w:tbl>
      <w:tblPr>
        <w:tblStyle w:val="14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2282"/>
        <w:gridCol w:w="992"/>
        <w:gridCol w:w="992"/>
        <w:gridCol w:w="973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环节类别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集中实践环节名称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周数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军训类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基本能力实训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专业能力实训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综合能力实训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毕业设计类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3．创新创业及素质教育实践学分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创新创业及素质教育项目主要包括创新创业项目、专业认证和素质教育项目共三类。其中，各专业重点推荐学生选修的项目如下：</w:t>
      </w:r>
    </w:p>
    <w:tbl>
      <w:tblPr>
        <w:tblStyle w:val="14"/>
        <w:tblpPr w:leftFromText="180" w:rightFromText="180" w:vertAnchor="text" w:horzAnchor="margin" w:tblpXSpec="center" w:tblpY="249"/>
        <w:tblW w:w="469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37"/>
        <w:gridCol w:w="2830"/>
        <w:gridCol w:w="1237"/>
        <w:gridCol w:w="3148"/>
        <w:gridCol w:w="2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项目级别</w:t>
            </w: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重要活动标“*”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（1）素质教育项目级别可分为校级、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级、专业级。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（2）素质教育项目的选取要切实结合专业培养目标和毕业要求，突出专业特色。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7" w:name="_Toc52685634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（七）各类课程学时学分统计表</w:t>
      </w:r>
      <w:bookmarkEnd w:id="27"/>
    </w:p>
    <w:tbl>
      <w:tblPr>
        <w:tblStyle w:val="14"/>
        <w:tblW w:w="110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30"/>
        <w:gridCol w:w="658"/>
        <w:gridCol w:w="812"/>
        <w:gridCol w:w="952"/>
        <w:gridCol w:w="644"/>
        <w:gridCol w:w="588"/>
        <w:gridCol w:w="1302"/>
        <w:gridCol w:w="1161"/>
        <w:gridCol w:w="756"/>
        <w:gridCol w:w="756"/>
        <w:gridCol w:w="9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必修课：  学分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选修课：  学分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学科及专业基础课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实践教学环节学分所占比例：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必修课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选修课</w:t>
            </w:r>
          </w:p>
        </w:tc>
        <w:tc>
          <w:tcPr>
            <w:tcW w:w="9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课内学时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学科及专业基础课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*周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**学时+**周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实践教学环节学时所占比例：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1．集中性实践教学环节每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折算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bookmarkStart w:id="37" w:name="_GoBack"/>
            <w:bookmarkEnd w:id="37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学时。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2．实践教学环节学时所占比例=各类课程实践学时之和/总学时。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3．课内总学时不含集中实践环节学时。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4．创新创业及素质教育学时只计算创新创业课程的学时，创新创业及素质教育实践学分不折算学时。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5．专业选修课理论（实践）学时=（专业选修课最低要求学分/计划中列出的专业选修课学分之和）×专业选修课理论（实践）学时之和。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6．通识选修课的学时=通识选修课的学分要求×16，全部计入理论学时。</w:t>
            </w:r>
          </w:p>
        </w:tc>
      </w:tr>
    </w:tbl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备注：依据教育部、各教指委制定的专业类及专业教学质量标准，合理设置总学分、总学时及必修、选修和实践类的学时学分；各类课程学时学分比例相对合理。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（八）本专业混合式教育实施计划</w:t>
      </w:r>
    </w:p>
    <w:p>
      <w:pPr>
        <w:snapToGrid w:val="0"/>
        <w:spacing w:line="240" w:lineRule="atLeast"/>
        <w:ind w:firstLine="453" w:firstLineChars="18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对前文“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七、TOPCARES专业人才培养模式、专业特色与能力指标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”中“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（一）专业人才培养模式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”混合式教育设计思路的细化说明。各校混合式教育改革试点专业必选此项，形式不限，主要内容如下：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（1）本专业人才培养课程、项目、活动、毕业设计等各环节混合式教育整体设计；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（2）分学年/学期对本专业的混合式教育进行系统化设计（考虑课程/项目特点、混合式教学类别、课外学时总量及学生承受能力等因素），学生团学活动等时间安排也需综合考虑。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（3）对本专业E-learning课程的要求进行说明。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8" w:name="_Toc526856344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十、教学基本条件</w:t>
      </w:r>
      <w:bookmarkEnd w:id="28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9" w:name="_Toc526856345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（一）师资队伍</w:t>
      </w:r>
      <w:bookmarkEnd w:id="29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1．专业带头人的基本要求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2．专任教师与兼职教师的配置与要求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3．专业核心课程及一、二级项目建设团队的配置和要求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（1）师资队伍包括专任教师和兼职教师。一般按学生数与专任教师数比例不高于T:1的标准配备专任师资。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（2）专业师资队伍数量与结构、基本要求等符合普通高等学校本科专业类教学质量国家标准要求。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（3）双师型教师占专业课教师的比例一般应不低于P%。企业兼职教师一般应为大学本科以上学历，且具有3-5年或以上工作经验。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（4）建议考虑教学过程线上监控、反馈、辅导答疑等工作对教师的配备与要求。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30" w:name="_Toc526856346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（二）教学设施</w:t>
      </w:r>
      <w:bookmarkEnd w:id="30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1．专业教室应达到的基本条件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2．校内实验及实训基地的基本要求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实验实训室的教学与训练内容设计、描述、实施、效果评价等。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3．校外实习及实训基地的基本要求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教学设施要求符合普通高等学校本科专业类教学质量国家标准要求，主要包括专业教室（如画室、语音室及多媒体教室等）、校内实训室（基地）和校外实训基地。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开展混合式教育改革的课程/项目的教室、校内外实验/实训/实习环境建设，必须满足混合式教学需求，在不降低学生能力培养要求前提下鼓励开设虚拟仿真实验等。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31" w:name="_Toc52685634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（三）教学资源</w:t>
      </w:r>
      <w:bookmarkEnd w:id="31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1．教材选用的基本要求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2.信息化资源配备的基本要求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（1）专业教学资源。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（2）课程学习资源。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（3）开放式学习平台。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（4）创新创业平台。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1.主要包括能够满足学生专业学习、教师专业教学研究和教学实施需要的教材、项目及信息化资源等。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bookmarkStart w:id="32" w:name="_Hlk28190817"/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开展混合式教育改革的课程/项目/</w:t>
      </w:r>
      <w:bookmarkEnd w:id="32"/>
      <w:r>
        <w:rPr>
          <w:rFonts w:hint="eastAsia" w:asciiTheme="minorEastAsia" w:hAnsiTheme="minorEastAsia" w:eastAsiaTheme="minorEastAsia" w:cstheme="minorEastAsia"/>
          <w:sz w:val="24"/>
          <w:szCs w:val="24"/>
        </w:rPr>
        <w:t>毕设的资源建设，应结合混合式教学实际需要，以资源的系统、完整为基本要求，注重线上线下资源有机结合，同时注重资源的适用性和易用性。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3.对于自身不擅长、尚不具备明显优势与特色的专业领域，可以充分共享外部资源。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3" w:name="_Toc526856348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十一、质量保障</w:t>
      </w:r>
      <w:bookmarkEnd w:id="33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 xml:space="preserve"> 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建立以提高教育教学质量为导向的管理制度和工作机制，以服务为宗旨，以就业为导向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把教育资源配置和工作重点集中到强化教学环节。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１.教师知识技能持续提升机制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教学方法、教育技术、教育心理学、行为学的培训、教育新方法、新技术、新模式等的尝试与应用。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2．教学活动监控机制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素质教育项目和活动、课程实施环节等过程监控。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3．教学质量评价机制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以教考分离为原则，构建作业系统、题库等，通过形成性和终结性考核、定量和定性等方式评价学生学习效果。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34" w:name="_Toc484199926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4．在校生、毕业生跟踪反馈及社会评价机制</w:t>
      </w:r>
      <w:bookmarkEnd w:id="34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自我调研和第三方调研结合。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35" w:name="_Toc484199927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5．人才培养质量持续提升机制</w:t>
      </w:r>
      <w:bookmarkEnd w:id="3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形成改进提升制度。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开展混合式教育改革的课程／项目/毕设的质量保障，要强调通过线上线下相结合的方式，通过对学生课前学习情况、教师课中教学情况及课后学生的练习开展追踪评价，以客观了解教学效果，及时调整教学安排，因材施教，最大限度激发学生学习的积极性与主观能动性的发挥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6" w:name="_Toc526856349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十二、版本管理</w:t>
      </w:r>
      <w:bookmarkEnd w:id="3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版本号：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制定小组成员：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专业负责人：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教学院系负责人：  </w:t>
      </w:r>
    </w:p>
    <w:sectPr>
      <w:headerReference r:id="rId3" w:type="default"/>
      <w:footerReference r:id="rId4" w:type="default"/>
      <w:pgSz w:w="16838" w:h="11906" w:orient="landscape"/>
      <w:pgMar w:top="1418" w:right="1701" w:bottom="1418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369454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  <w:rPr>
        <w:rFonts w:ascii="思源黑体 CN Regular" w:hAnsi="思源黑体 CN Regular" w:eastAsia="思源黑体 CN Regular"/>
        <w:sz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6132195</wp:posOffset>
          </wp:positionH>
          <wp:positionV relativeFrom="paragraph">
            <wp:posOffset>-57785</wp:posOffset>
          </wp:positionV>
          <wp:extent cx="2604770" cy="340360"/>
          <wp:effectExtent l="0" t="0" r="0" b="0"/>
          <wp:wrapNone/>
          <wp:docPr id="2" name="图片 2" descr="C:\Users\Administrator\AppData\Local\Microsoft\Windows\INetCache\Content.Word\rrrr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AppData\Local\Microsoft\Windows\INetCache\Content.Word\rrrrrrr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47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010920" cy="179705"/>
          <wp:effectExtent l="0" t="0" r="17780" b="10795"/>
          <wp:docPr id="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092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04"/>
    <w:rsid w:val="00026DE8"/>
    <w:rsid w:val="00035E1E"/>
    <w:rsid w:val="000527C3"/>
    <w:rsid w:val="0005630C"/>
    <w:rsid w:val="0009464B"/>
    <w:rsid w:val="000E7903"/>
    <w:rsid w:val="00120A21"/>
    <w:rsid w:val="00136F1D"/>
    <w:rsid w:val="001517CE"/>
    <w:rsid w:val="001F7F74"/>
    <w:rsid w:val="0020682B"/>
    <w:rsid w:val="0023376E"/>
    <w:rsid w:val="00272DA8"/>
    <w:rsid w:val="002968A2"/>
    <w:rsid w:val="002D46D1"/>
    <w:rsid w:val="002F3A4C"/>
    <w:rsid w:val="0036142A"/>
    <w:rsid w:val="0036226F"/>
    <w:rsid w:val="003C3BD7"/>
    <w:rsid w:val="003C5B06"/>
    <w:rsid w:val="003E2380"/>
    <w:rsid w:val="003F211F"/>
    <w:rsid w:val="00440700"/>
    <w:rsid w:val="004444C1"/>
    <w:rsid w:val="004470EA"/>
    <w:rsid w:val="00486987"/>
    <w:rsid w:val="004C3FE0"/>
    <w:rsid w:val="004C799A"/>
    <w:rsid w:val="004E6605"/>
    <w:rsid w:val="00507266"/>
    <w:rsid w:val="005235AC"/>
    <w:rsid w:val="00527B8C"/>
    <w:rsid w:val="00561913"/>
    <w:rsid w:val="005733EE"/>
    <w:rsid w:val="00573909"/>
    <w:rsid w:val="00590445"/>
    <w:rsid w:val="005A598B"/>
    <w:rsid w:val="005B554F"/>
    <w:rsid w:val="005C6560"/>
    <w:rsid w:val="005F5BEC"/>
    <w:rsid w:val="006029C7"/>
    <w:rsid w:val="00626AE8"/>
    <w:rsid w:val="0063036F"/>
    <w:rsid w:val="006A6220"/>
    <w:rsid w:val="006E0B4C"/>
    <w:rsid w:val="006E6020"/>
    <w:rsid w:val="00705473"/>
    <w:rsid w:val="00745656"/>
    <w:rsid w:val="00756E9A"/>
    <w:rsid w:val="007B6FD6"/>
    <w:rsid w:val="008112D6"/>
    <w:rsid w:val="00837DEA"/>
    <w:rsid w:val="00850541"/>
    <w:rsid w:val="0088053B"/>
    <w:rsid w:val="008C75D5"/>
    <w:rsid w:val="009112EA"/>
    <w:rsid w:val="00951373"/>
    <w:rsid w:val="0095331F"/>
    <w:rsid w:val="00981B6E"/>
    <w:rsid w:val="009A1B89"/>
    <w:rsid w:val="009A6011"/>
    <w:rsid w:val="009F0146"/>
    <w:rsid w:val="009F5B6E"/>
    <w:rsid w:val="00A3686F"/>
    <w:rsid w:val="00A36CA6"/>
    <w:rsid w:val="00A62511"/>
    <w:rsid w:val="00AB0658"/>
    <w:rsid w:val="00B008D6"/>
    <w:rsid w:val="00B35CFA"/>
    <w:rsid w:val="00B40E7A"/>
    <w:rsid w:val="00B64D1B"/>
    <w:rsid w:val="00B82C7D"/>
    <w:rsid w:val="00BD5B51"/>
    <w:rsid w:val="00BD734A"/>
    <w:rsid w:val="00C25EC2"/>
    <w:rsid w:val="00C8361D"/>
    <w:rsid w:val="00CE3829"/>
    <w:rsid w:val="00D01477"/>
    <w:rsid w:val="00D215A6"/>
    <w:rsid w:val="00D31EE8"/>
    <w:rsid w:val="00D9398E"/>
    <w:rsid w:val="00DA48F3"/>
    <w:rsid w:val="00DB06DE"/>
    <w:rsid w:val="00DB44B7"/>
    <w:rsid w:val="00DD14B3"/>
    <w:rsid w:val="00E101F2"/>
    <w:rsid w:val="00E104BC"/>
    <w:rsid w:val="00E517FD"/>
    <w:rsid w:val="00E623FC"/>
    <w:rsid w:val="00E66713"/>
    <w:rsid w:val="00E7480D"/>
    <w:rsid w:val="00EC7768"/>
    <w:rsid w:val="00ED3387"/>
    <w:rsid w:val="00EE4090"/>
    <w:rsid w:val="00F12204"/>
    <w:rsid w:val="00F24D99"/>
    <w:rsid w:val="00F35B61"/>
    <w:rsid w:val="00F41171"/>
    <w:rsid w:val="00F74995"/>
    <w:rsid w:val="00F90A4D"/>
    <w:rsid w:val="00F93501"/>
    <w:rsid w:val="00FA3311"/>
    <w:rsid w:val="00FB7BCC"/>
    <w:rsid w:val="00FC3E96"/>
    <w:rsid w:val="00FD333A"/>
    <w:rsid w:val="00FE247B"/>
    <w:rsid w:val="00FE41CC"/>
    <w:rsid w:val="02BF5F27"/>
    <w:rsid w:val="034C5515"/>
    <w:rsid w:val="04FB6F8C"/>
    <w:rsid w:val="060C577A"/>
    <w:rsid w:val="0C074BF7"/>
    <w:rsid w:val="11284A00"/>
    <w:rsid w:val="1203282B"/>
    <w:rsid w:val="12284547"/>
    <w:rsid w:val="154A4805"/>
    <w:rsid w:val="16A2309F"/>
    <w:rsid w:val="1A347509"/>
    <w:rsid w:val="27417F4A"/>
    <w:rsid w:val="2A172A76"/>
    <w:rsid w:val="2B4424A2"/>
    <w:rsid w:val="2CC420C9"/>
    <w:rsid w:val="32C60F66"/>
    <w:rsid w:val="345751E3"/>
    <w:rsid w:val="372A6A2B"/>
    <w:rsid w:val="392E2999"/>
    <w:rsid w:val="3C935F7C"/>
    <w:rsid w:val="3CB542C3"/>
    <w:rsid w:val="47BE42A4"/>
    <w:rsid w:val="48CC3F4D"/>
    <w:rsid w:val="51502F59"/>
    <w:rsid w:val="534C7F3A"/>
    <w:rsid w:val="53E40186"/>
    <w:rsid w:val="57A20686"/>
    <w:rsid w:val="5AA97387"/>
    <w:rsid w:val="5BC75681"/>
    <w:rsid w:val="5DA72D2A"/>
    <w:rsid w:val="62527EE7"/>
    <w:rsid w:val="6747C0F0"/>
    <w:rsid w:val="6A4928DA"/>
    <w:rsid w:val="6CE01EDD"/>
    <w:rsid w:val="7BBB385F"/>
    <w:rsid w:val="7C6D0508"/>
    <w:rsid w:val="7DDC503E"/>
    <w:rsid w:val="BF937EC8"/>
    <w:rsid w:val="D96FFAEC"/>
    <w:rsid w:val="EE8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0"/>
    <w:unhideWhenUsed/>
    <w:qFormat/>
    <w:uiPriority w:val="99"/>
    <w:rPr>
      <w:rFonts w:ascii="宋体" w:hAnsi="Times New Roman" w:eastAsia="宋体" w:cs="Times New Roman"/>
      <w:sz w:val="18"/>
      <w:szCs w:val="18"/>
      <w:lang w:val="zh-CN" w:eastAsia="zh-CN"/>
    </w:rPr>
  </w:style>
  <w:style w:type="paragraph" w:styleId="5">
    <w:name w:val="annotation text"/>
    <w:basedOn w:val="1"/>
    <w:link w:val="39"/>
    <w:unhideWhenUsed/>
    <w:qFormat/>
    <w:uiPriority w:val="99"/>
    <w:pPr>
      <w:jc w:val="left"/>
    </w:pPr>
    <w:rPr>
      <w:rFonts w:ascii="Times New Roman" w:hAnsi="Times New Roman" w:eastAsia="仿宋_GB2312" w:cs="Times New Roman"/>
      <w:sz w:val="32"/>
      <w:szCs w:val="20"/>
      <w:lang w:val="zh-CN" w:eastAsia="zh-CN"/>
    </w:rPr>
  </w:style>
  <w:style w:type="paragraph" w:styleId="6">
    <w:name w:val="Body Text"/>
    <w:basedOn w:val="1"/>
    <w:link w:val="26"/>
    <w:qFormat/>
    <w:uiPriority w:val="1"/>
    <w:pPr>
      <w:spacing w:before="54"/>
      <w:ind w:left="846"/>
      <w:jc w:val="left"/>
    </w:pPr>
    <w:rPr>
      <w:rFonts w:ascii="宋体" w:hAnsi="宋体" w:eastAsia="宋体" w:cs="Times New Roman"/>
      <w:kern w:val="0"/>
      <w:sz w:val="20"/>
      <w:szCs w:val="20"/>
      <w:lang w:val="zh-CN" w:eastAsia="en-US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宋体" w:hAnsi="宋体" w:eastAsia="宋体" w:cs="Times New Roman"/>
      <w:b/>
      <w:sz w:val="28"/>
      <w:szCs w:val="2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41"/>
    <w:unhideWhenUsed/>
    <w:qFormat/>
    <w:uiPriority w:val="99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HTML Code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标题 1 字符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9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眉 字符"/>
    <w:basedOn w:val="15"/>
    <w:link w:val="10"/>
    <w:qFormat/>
    <w:uiPriority w:val="0"/>
    <w:rPr>
      <w:sz w:val="18"/>
      <w:szCs w:val="18"/>
    </w:rPr>
  </w:style>
  <w:style w:type="character" w:customStyle="1" w:styleId="23">
    <w:name w:val="标题 1 字符"/>
    <w:basedOn w:val="15"/>
    <w:qFormat/>
    <w:uiPriority w:val="9"/>
    <w:rPr>
      <w:b/>
      <w:bCs/>
      <w:kern w:val="44"/>
      <w:sz w:val="44"/>
      <w:szCs w:val="44"/>
    </w:rPr>
  </w:style>
  <w:style w:type="character" w:customStyle="1" w:styleId="24">
    <w:name w:val="纯文本 字符1"/>
    <w:link w:val="7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5">
    <w:name w:val="纯文本 字符"/>
    <w:basedOn w:val="15"/>
    <w:semiHidden/>
    <w:qFormat/>
    <w:uiPriority w:val="99"/>
    <w:rPr>
      <w:rFonts w:hAnsi="Courier New" w:cs="Courier New" w:asciiTheme="minorEastAsia"/>
      <w:kern w:val="2"/>
      <w:sz w:val="21"/>
      <w:szCs w:val="22"/>
    </w:rPr>
  </w:style>
  <w:style w:type="character" w:customStyle="1" w:styleId="26">
    <w:name w:val="正文文本 字符"/>
    <w:basedOn w:val="15"/>
    <w:link w:val="6"/>
    <w:qFormat/>
    <w:uiPriority w:val="1"/>
    <w:rPr>
      <w:rFonts w:ascii="宋体" w:hAnsi="宋体" w:eastAsia="宋体" w:cs="Times New Roman"/>
      <w:lang w:val="zh-CN" w:eastAsia="en-US"/>
    </w:rPr>
  </w:style>
  <w:style w:type="character" w:customStyle="1" w:styleId="27">
    <w:name w:val="正文文本 Char"/>
    <w:qFormat/>
    <w:uiPriority w:val="1"/>
    <w:rPr>
      <w:rFonts w:ascii="Times New Roman" w:hAnsi="Times New Roman" w:eastAsia="仿宋_GB2312"/>
      <w:kern w:val="2"/>
      <w:sz w:val="32"/>
    </w:rPr>
  </w:style>
  <w:style w:type="character" w:customStyle="1" w:styleId="28">
    <w:name w:val="页眉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9">
    <w:name w:val="页脚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文档结构图 字符1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  <w:lang w:val="zh-CN" w:eastAsia="zh-CN"/>
    </w:rPr>
  </w:style>
  <w:style w:type="character" w:customStyle="1" w:styleId="31">
    <w:name w:val="文档结构图 字符"/>
    <w:basedOn w:val="15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5">
    <w:name w:val="无 A"/>
    <w:qFormat/>
    <w:uiPriority w:val="0"/>
    <w:rPr>
      <w:lang w:val="zh-TW" w:eastAsia="zh-TW"/>
    </w:rPr>
  </w:style>
  <w:style w:type="character" w:customStyle="1" w:styleId="36">
    <w:name w:val="Hyperlink.0"/>
    <w:qFormat/>
    <w:uiPriority w:val="0"/>
    <w:rPr>
      <w:lang w:val="en-US" w:eastAsia="zh-TW"/>
    </w:rPr>
  </w:style>
  <w:style w:type="paragraph" w:customStyle="1" w:styleId="37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38">
    <w:name w:val="short"/>
    <w:basedOn w:val="15"/>
    <w:qFormat/>
    <w:uiPriority w:val="0"/>
  </w:style>
  <w:style w:type="character" w:customStyle="1" w:styleId="39">
    <w:name w:val="批注文字 字符1"/>
    <w:link w:val="5"/>
    <w:qFormat/>
    <w:uiPriority w:val="99"/>
    <w:rPr>
      <w:rFonts w:ascii="Times New Roman" w:hAnsi="Times New Roman" w:eastAsia="仿宋_GB2312" w:cs="Times New Roman"/>
      <w:kern w:val="2"/>
      <w:sz w:val="32"/>
      <w:lang w:val="zh-CN" w:eastAsia="zh-CN"/>
    </w:rPr>
  </w:style>
  <w:style w:type="character" w:customStyle="1" w:styleId="40">
    <w:name w:val="批注文字 字符"/>
    <w:basedOn w:val="15"/>
    <w:semiHidden/>
    <w:qFormat/>
    <w:uiPriority w:val="0"/>
    <w:rPr>
      <w:kern w:val="2"/>
      <w:sz w:val="21"/>
      <w:szCs w:val="22"/>
    </w:rPr>
  </w:style>
  <w:style w:type="character" w:customStyle="1" w:styleId="41">
    <w:name w:val="批注主题 字符1"/>
    <w:link w:val="13"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lang w:val="zh-CN" w:eastAsia="zh-CN"/>
    </w:rPr>
  </w:style>
  <w:style w:type="character" w:customStyle="1" w:styleId="42">
    <w:name w:val="批注主题 字符"/>
    <w:basedOn w:val="40"/>
    <w:semiHidden/>
    <w:qFormat/>
    <w:uiPriority w:val="99"/>
    <w:rPr>
      <w:b/>
      <w:bCs/>
      <w:kern w:val="2"/>
      <w:sz w:val="21"/>
      <w:szCs w:val="22"/>
    </w:rPr>
  </w:style>
  <w:style w:type="paragraph" w:customStyle="1" w:styleId="43">
    <w:name w:val="a"/>
    <w:basedOn w:val="1"/>
    <w:qFormat/>
    <w:uiPriority w:val="0"/>
    <w:pPr>
      <w:widowControl/>
      <w:spacing w:line="312" w:lineRule="auto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4">
    <w:name w:val="font9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5">
    <w:name w:val="font6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6">
    <w:name w:val="font1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1105</Words>
  <Characters>6300</Characters>
  <Lines>52</Lines>
  <Paragraphs>14</Paragraphs>
  <TotalTime>10</TotalTime>
  <ScaleCrop>false</ScaleCrop>
  <LinksUpToDate>false</LinksUpToDate>
  <CharactersWithSpaces>7391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2019-12-27T17:12:00Z</dcterms:created>
  <dc:creator>Administrator</dc:creator>
  <cp:lastModifiedBy>李芳</cp:lastModifiedBy>
  <dcterms:modified xsi:type="dcterms:W3CDTF">2021-05-20T09:12:04Z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A10B1BBC387B456BA9C1EB615EB3887F</vt:lpwstr>
  </property>
</Properties>
</file>