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center"/>
        <w:rPr>
          <w:rFonts w:ascii="方正小标宋简体" w:hAnsi="宋体" w:eastAsia="方正小标宋简体" w:cs="宋体"/>
          <w:color w:val="auto"/>
          <w:kern w:val="0"/>
          <w:sz w:val="40"/>
          <w:szCs w:val="44"/>
        </w:rPr>
      </w:pPr>
      <w:r>
        <w:rPr>
          <w:rFonts w:hint="eastAsia" w:ascii="方正小标宋简体" w:hAnsi="宋体" w:eastAsia="方正小标宋简体" w:cs="宋体"/>
          <w:color w:val="auto"/>
          <w:kern w:val="0"/>
          <w:sz w:val="40"/>
          <w:szCs w:val="44"/>
        </w:rPr>
        <w:t>广东东软学院关于</w:t>
      </w:r>
      <w:r>
        <w:rPr>
          <w:rFonts w:hint="eastAsia" w:ascii="方正小标宋简体" w:hAnsi="宋体" w:eastAsia="方正小标宋简体" w:cs="宋体"/>
          <w:color w:val="auto"/>
          <w:kern w:val="0"/>
          <w:sz w:val="40"/>
          <w:szCs w:val="44"/>
          <w:lang w:val="en-US" w:eastAsia="zh-CN"/>
        </w:rPr>
        <w:t>制定（修订）</w:t>
      </w:r>
      <w:r>
        <w:rPr>
          <w:rFonts w:hint="eastAsia" w:ascii="方正小标宋简体" w:hAnsi="宋体" w:eastAsia="方正小标宋简体" w:cs="宋体"/>
          <w:color w:val="auto"/>
          <w:kern w:val="0"/>
          <w:sz w:val="40"/>
          <w:szCs w:val="44"/>
        </w:rPr>
        <w:t>202</w:t>
      </w:r>
      <w:r>
        <w:rPr>
          <w:rFonts w:hint="eastAsia" w:ascii="方正小标宋简体" w:hAnsi="宋体" w:eastAsia="方正小标宋简体" w:cs="宋体"/>
          <w:color w:val="auto"/>
          <w:kern w:val="0"/>
          <w:sz w:val="40"/>
          <w:szCs w:val="44"/>
          <w:lang w:val="en-US" w:eastAsia="zh-CN"/>
        </w:rPr>
        <w:t>1</w:t>
      </w:r>
      <w:r>
        <w:rPr>
          <w:rFonts w:hint="eastAsia" w:ascii="方正小标宋简体" w:hAnsi="宋体" w:eastAsia="方正小标宋简体" w:cs="宋体"/>
          <w:color w:val="auto"/>
          <w:kern w:val="0"/>
          <w:sz w:val="40"/>
          <w:szCs w:val="44"/>
        </w:rPr>
        <w:t>年度</w:t>
      </w:r>
    </w:p>
    <w:p>
      <w:pPr>
        <w:spacing w:line="720" w:lineRule="exact"/>
        <w:jc w:val="center"/>
        <w:rPr>
          <w:rFonts w:ascii="黑体" w:hAnsi="黑体" w:eastAsia="黑体"/>
          <w:color w:val="auto"/>
          <w:sz w:val="28"/>
          <w:szCs w:val="32"/>
        </w:rPr>
      </w:pPr>
      <w:r>
        <w:rPr>
          <w:rFonts w:hint="eastAsia" w:ascii="方正小标宋简体" w:hAnsi="宋体" w:eastAsia="方正小标宋简体" w:cs="宋体"/>
          <w:color w:val="auto"/>
          <w:kern w:val="0"/>
          <w:sz w:val="40"/>
          <w:szCs w:val="44"/>
        </w:rPr>
        <w:t>本科人才培养方案的指导意见</w:t>
      </w:r>
    </w:p>
    <w:p>
      <w:pPr>
        <w:spacing w:line="560" w:lineRule="exact"/>
        <w:ind w:firstLine="600" w:firstLineChars="200"/>
        <w:rPr>
          <w:rFonts w:hint="eastAsia" w:ascii="仿宋" w:hAnsi="仿宋" w:eastAsia="仿宋"/>
          <w:color w:val="auto"/>
          <w:sz w:val="30"/>
          <w:szCs w:val="30"/>
        </w:rPr>
      </w:pPr>
      <w:r>
        <w:rPr>
          <w:rFonts w:hint="eastAsia" w:ascii="仿宋" w:hAnsi="仿宋" w:eastAsia="仿宋"/>
          <w:color w:val="auto"/>
          <w:sz w:val="30"/>
          <w:szCs w:val="30"/>
        </w:rPr>
        <w:t>本科专业人才培养方案是高等学校落实党和国家关于高等教育人才培养总体要求，组织开展教学活动、安排教学任务的规范性</w:t>
      </w:r>
      <w:r>
        <w:rPr>
          <w:rFonts w:hint="eastAsia" w:ascii="仿宋" w:hAnsi="仿宋" w:eastAsia="仿宋"/>
          <w:color w:val="auto"/>
          <w:sz w:val="30"/>
          <w:szCs w:val="30"/>
          <w:highlight w:val="none"/>
        </w:rPr>
        <w:t>文件，是实施专业人才培养和开展质量评价的基本依据。我</w:t>
      </w:r>
      <w:r>
        <w:rPr>
          <w:rFonts w:hint="eastAsia" w:ascii="仿宋" w:hAnsi="仿宋" w:eastAsia="仿宋"/>
          <w:color w:val="auto"/>
          <w:sz w:val="30"/>
          <w:szCs w:val="30"/>
        </w:rPr>
        <w:t>校按照TOPCARES</w:t>
      </w:r>
      <w:r>
        <w:rPr>
          <w:rFonts w:hint="eastAsia" w:ascii="仿宋" w:hAnsi="仿宋" w:eastAsia="仿宋"/>
          <w:color w:val="auto"/>
          <w:sz w:val="30"/>
          <w:szCs w:val="30"/>
          <w:lang w:val="en-US" w:eastAsia="zh-CN"/>
        </w:rPr>
        <w:t>人才培养指标体系要求和《广东东软学院专业人才培养方案管理办法》</w:t>
      </w:r>
      <w:r>
        <w:rPr>
          <w:rFonts w:hint="eastAsia" w:ascii="仿宋" w:hAnsi="仿宋" w:eastAsia="仿宋"/>
          <w:color w:val="auto"/>
          <w:sz w:val="30"/>
          <w:szCs w:val="30"/>
        </w:rPr>
        <w:t>开展202</w:t>
      </w:r>
      <w:r>
        <w:rPr>
          <w:rFonts w:hint="eastAsia" w:ascii="仿宋" w:hAnsi="仿宋" w:eastAsia="仿宋"/>
          <w:color w:val="auto"/>
          <w:sz w:val="30"/>
          <w:szCs w:val="30"/>
          <w:lang w:val="en-US" w:eastAsia="zh-CN"/>
        </w:rPr>
        <w:t>1</w:t>
      </w:r>
      <w:r>
        <w:rPr>
          <w:rFonts w:hint="eastAsia" w:ascii="仿宋" w:hAnsi="仿宋" w:eastAsia="仿宋"/>
          <w:color w:val="auto"/>
          <w:sz w:val="30"/>
          <w:szCs w:val="30"/>
        </w:rPr>
        <w:t>级</w:t>
      </w:r>
      <w:r>
        <w:rPr>
          <w:rFonts w:hint="eastAsia" w:ascii="仿宋" w:hAnsi="仿宋" w:eastAsia="仿宋"/>
          <w:color w:val="auto"/>
          <w:sz w:val="30"/>
          <w:szCs w:val="30"/>
          <w:lang w:val="en-US" w:eastAsia="zh-CN"/>
        </w:rPr>
        <w:t>本科</w:t>
      </w:r>
      <w:r>
        <w:rPr>
          <w:rFonts w:hint="eastAsia" w:ascii="仿宋" w:hAnsi="仿宋" w:eastAsia="仿宋"/>
          <w:color w:val="auto"/>
          <w:sz w:val="30"/>
          <w:szCs w:val="30"/>
        </w:rPr>
        <w:t>人才培养方案的制定（修订）工作，现提出以下指导意见。</w:t>
      </w:r>
    </w:p>
    <w:p>
      <w:pPr>
        <w:pStyle w:val="25"/>
        <w:keepNext w:val="0"/>
        <w:keepLines w:val="0"/>
        <w:pageBreakBefore w:val="0"/>
        <w:widowControl w:val="0"/>
        <w:numPr>
          <w:ilvl w:val="0"/>
          <w:numId w:val="1"/>
        </w:numPr>
        <w:kinsoku/>
        <w:wordWrap/>
        <w:overflowPunct/>
        <w:topLinePunct w:val="0"/>
        <w:autoSpaceDE/>
        <w:autoSpaceDN/>
        <w:bidi w:val="0"/>
        <w:adjustRightInd/>
        <w:snapToGrid/>
        <w:spacing w:before="120" w:beforeLines="50" w:after="120" w:afterLines="50" w:line="360" w:lineRule="auto"/>
        <w:ind w:left="0" w:firstLine="640" w:firstLineChars="200"/>
        <w:textAlignment w:val="auto"/>
        <w:rPr>
          <w:rFonts w:hint="eastAsia" w:ascii="黑体" w:hAnsi="黑体" w:eastAsia="黑体"/>
          <w:color w:val="auto"/>
          <w:sz w:val="32"/>
          <w:szCs w:val="32"/>
        </w:rPr>
      </w:pPr>
      <w:r>
        <w:rPr>
          <w:rFonts w:hint="eastAsia" w:ascii="黑体" w:hAnsi="黑体" w:eastAsia="黑体"/>
          <w:color w:val="auto"/>
          <w:sz w:val="32"/>
          <w:szCs w:val="32"/>
        </w:rPr>
        <w:t>基本原则</w:t>
      </w:r>
    </w:p>
    <w:p>
      <w:pPr>
        <w:pStyle w:val="24"/>
        <w:adjustRightInd w:val="0"/>
        <w:snapToGrid w:val="0"/>
        <w:spacing w:line="360" w:lineRule="auto"/>
        <w:ind w:firstLine="633"/>
        <w:rPr>
          <w:rFonts w:ascii="楷体" w:hAnsi="楷体" w:eastAsia="楷体"/>
          <w:b/>
          <w:bCs/>
          <w:color w:val="auto"/>
          <w:w w:val="98"/>
          <w:sz w:val="32"/>
        </w:rPr>
      </w:pPr>
      <w:r>
        <w:rPr>
          <w:rFonts w:hint="eastAsia" w:ascii="楷体" w:hAnsi="楷体" w:eastAsia="楷体"/>
          <w:b/>
          <w:bCs/>
          <w:color w:val="auto"/>
          <w:w w:val="98"/>
          <w:sz w:val="32"/>
        </w:rPr>
        <w:t>（一）坚持立德树人，注重全面发展</w:t>
      </w:r>
    </w:p>
    <w:p>
      <w:pPr>
        <w:pStyle w:val="24"/>
        <w:adjustRightInd w:val="0"/>
        <w:snapToGrid w:val="0"/>
        <w:spacing w:line="360" w:lineRule="auto"/>
        <w:ind w:firstLine="600"/>
        <w:rPr>
          <w:rFonts w:ascii="仿宋" w:hAnsi="仿宋" w:eastAsia="仿宋"/>
          <w:color w:val="auto"/>
          <w:sz w:val="30"/>
          <w:szCs w:val="30"/>
        </w:rPr>
      </w:pPr>
      <w:r>
        <w:rPr>
          <w:rFonts w:hint="eastAsia" w:ascii="仿宋" w:hAnsi="仿宋" w:eastAsia="仿宋"/>
          <w:color w:val="auto"/>
          <w:sz w:val="30"/>
          <w:szCs w:val="30"/>
        </w:rPr>
        <w:t>坚持以学生为中心，以成果为导向，科学制定专业人才培养目标和要求，合理规划学生的知识、能力和素质结构，打造“德、智、体、美、劳”全面发展、“知识、能力、素质”协调发展的应用型人才。重视思想道德品质、科学文化素养与健康人格教育，重视综合基础知识和专业应用知识的传授，重视专业实践能力和创新创业能力的培养。</w:t>
      </w:r>
      <w:r>
        <w:rPr>
          <w:rFonts w:hint="eastAsia" w:ascii="Times New Roman" w:hAnsi="Times New Roman" w:eastAsia="仿宋" w:cs="Times New Roman"/>
          <w:color w:val="auto"/>
          <w:sz w:val="32"/>
          <w:szCs w:val="32"/>
        </w:rPr>
        <w:t>加强通识教育课程建设，</w:t>
      </w:r>
      <w:r>
        <w:rPr>
          <w:rFonts w:hint="eastAsia" w:ascii="仿宋" w:hAnsi="仿宋" w:eastAsia="仿宋"/>
          <w:color w:val="auto"/>
          <w:sz w:val="30"/>
          <w:szCs w:val="30"/>
        </w:rPr>
        <w:t>强化课程思政</w:t>
      </w:r>
      <w:r>
        <w:rPr>
          <w:rFonts w:hint="eastAsia" w:ascii="仿宋" w:hAnsi="仿宋" w:eastAsia="仿宋"/>
          <w:color w:val="auto"/>
          <w:sz w:val="30"/>
          <w:szCs w:val="30"/>
          <w:lang w:val="en-US" w:eastAsia="zh-CN"/>
        </w:rPr>
        <w:t>改革</w:t>
      </w:r>
      <w:r>
        <w:rPr>
          <w:rFonts w:hint="eastAsia" w:ascii="仿宋" w:hAnsi="仿宋" w:eastAsia="仿宋"/>
          <w:color w:val="auto"/>
          <w:sz w:val="30"/>
          <w:szCs w:val="30"/>
        </w:rPr>
        <w:t>，所有任课教师应在传授知识和培养能力的同时，充分发掘运用课程蕴涵的思想政治教育和创新创业教育资源，</w:t>
      </w:r>
      <w:r>
        <w:rPr>
          <w:rFonts w:hint="eastAsia" w:ascii="Times New Roman" w:hAnsi="Times New Roman" w:eastAsia="仿宋" w:cs="Times New Roman"/>
          <w:color w:val="auto"/>
          <w:sz w:val="32"/>
          <w:szCs w:val="32"/>
        </w:rPr>
        <w:t>引导学生培养高尚道德情操和良好精神素养</w:t>
      </w:r>
      <w:r>
        <w:rPr>
          <w:rFonts w:hint="eastAsia" w:ascii="Times New Roman" w:hAnsi="Times New Roman" w:eastAsia="仿宋" w:cs="Times New Roman"/>
          <w:color w:val="auto"/>
          <w:sz w:val="32"/>
          <w:szCs w:val="32"/>
          <w:lang w:eastAsia="zh-CN"/>
        </w:rPr>
        <w:t>，</w:t>
      </w:r>
      <w:r>
        <w:rPr>
          <w:rFonts w:hint="eastAsia" w:ascii="仿宋" w:hAnsi="仿宋" w:eastAsia="仿宋"/>
          <w:color w:val="auto"/>
          <w:sz w:val="30"/>
          <w:szCs w:val="30"/>
        </w:rPr>
        <w:t>做大学生成长的指导者和引路人。</w:t>
      </w:r>
    </w:p>
    <w:p>
      <w:pPr>
        <w:pStyle w:val="24"/>
        <w:adjustRightInd w:val="0"/>
        <w:snapToGrid w:val="0"/>
        <w:spacing w:line="360" w:lineRule="auto"/>
        <w:ind w:firstLine="633"/>
        <w:rPr>
          <w:rFonts w:ascii="楷体" w:hAnsi="楷体" w:eastAsia="楷体"/>
          <w:b/>
          <w:bCs/>
          <w:color w:val="auto"/>
          <w:w w:val="98"/>
          <w:sz w:val="32"/>
        </w:rPr>
      </w:pPr>
      <w:r>
        <w:rPr>
          <w:rFonts w:hint="eastAsia" w:ascii="楷体" w:hAnsi="楷体" w:eastAsia="楷体"/>
          <w:b/>
          <w:bCs/>
          <w:color w:val="auto"/>
          <w:w w:val="98"/>
          <w:sz w:val="32"/>
        </w:rPr>
        <w:t>（二）明确培养目标，提炼能力指标</w:t>
      </w:r>
    </w:p>
    <w:p>
      <w:pPr>
        <w:pStyle w:val="24"/>
        <w:adjustRightInd w:val="0"/>
        <w:snapToGrid w:val="0"/>
        <w:spacing w:line="360" w:lineRule="auto"/>
        <w:ind w:firstLine="600"/>
        <w:rPr>
          <w:rFonts w:ascii="仿宋" w:hAnsi="仿宋" w:eastAsia="仿宋"/>
          <w:color w:val="auto"/>
          <w:sz w:val="30"/>
          <w:szCs w:val="30"/>
        </w:rPr>
      </w:pPr>
      <w:r>
        <w:rPr>
          <w:rFonts w:hint="eastAsia" w:ascii="仿宋" w:hAnsi="仿宋" w:eastAsia="仿宋"/>
          <w:color w:val="auto"/>
          <w:sz w:val="30"/>
          <w:szCs w:val="30"/>
        </w:rPr>
        <w:t>各专业要围绕学校应用型大学的定位，依据学校的人才培养总体目标，开展广泛、深入、扎实的专业调研，参照相关专业国家质量标准、指导性规范、行业标准、岗位要求，结合本专业定位和人才培养特色，科学分析，认真梳理，</w:t>
      </w:r>
      <w:r>
        <w:rPr>
          <w:rFonts w:hint="eastAsia" w:ascii="仿宋" w:hAnsi="仿宋" w:eastAsia="仿宋"/>
          <w:color w:val="auto"/>
          <w:sz w:val="30"/>
          <w:szCs w:val="30"/>
          <w:lang w:val="en-US" w:eastAsia="zh-CN"/>
        </w:rPr>
        <w:t>充分论证并</w:t>
      </w:r>
      <w:r>
        <w:rPr>
          <w:rFonts w:hint="eastAsia" w:ascii="仿宋" w:hAnsi="仿宋" w:eastAsia="仿宋"/>
          <w:color w:val="auto"/>
          <w:sz w:val="30"/>
          <w:szCs w:val="30"/>
        </w:rPr>
        <w:t>明确专业人才培养目标</w:t>
      </w:r>
      <w:r>
        <w:rPr>
          <w:rFonts w:hint="eastAsia" w:ascii="仿宋" w:hAnsi="仿宋" w:eastAsia="仿宋"/>
          <w:color w:val="auto"/>
          <w:sz w:val="30"/>
          <w:szCs w:val="30"/>
          <w:lang w:eastAsia="zh-CN"/>
        </w:rPr>
        <w:t>，</w:t>
      </w:r>
      <w:r>
        <w:rPr>
          <w:rFonts w:hint="eastAsia" w:ascii="仿宋" w:hAnsi="仿宋" w:eastAsia="仿宋"/>
          <w:color w:val="auto"/>
          <w:sz w:val="30"/>
          <w:szCs w:val="30"/>
          <w:lang w:val="en-US" w:eastAsia="zh-CN"/>
        </w:rPr>
        <w:t>有企业行业专家参与制定、修订</w:t>
      </w:r>
      <w:r>
        <w:rPr>
          <w:rFonts w:hint="eastAsia" w:ascii="仿宋" w:hAnsi="仿宋" w:eastAsia="仿宋"/>
          <w:color w:val="auto"/>
          <w:sz w:val="30"/>
          <w:szCs w:val="30"/>
        </w:rPr>
        <w:t>。经过对专业人才培养预期应掌握的知识、能力、素质进行明确的、具体化的分析，按照 TOPCATES能力指标体系框架，提炼出各专业的人才培养能力指标，形成从专业人才培养目标到具有专业特色的TOPCATES核心能力指标的映射。</w:t>
      </w:r>
    </w:p>
    <w:p>
      <w:pPr>
        <w:pStyle w:val="24"/>
        <w:adjustRightInd w:val="0"/>
        <w:snapToGrid w:val="0"/>
        <w:spacing w:line="360" w:lineRule="auto"/>
        <w:ind w:firstLine="633"/>
        <w:rPr>
          <w:rFonts w:ascii="楷体" w:hAnsi="楷体" w:eastAsia="楷体"/>
          <w:b/>
          <w:bCs/>
          <w:color w:val="auto"/>
          <w:w w:val="98"/>
          <w:sz w:val="32"/>
        </w:rPr>
      </w:pPr>
      <w:r>
        <w:rPr>
          <w:rFonts w:hint="eastAsia" w:ascii="楷体" w:hAnsi="楷体" w:eastAsia="楷体"/>
          <w:b/>
          <w:bCs/>
          <w:color w:val="auto"/>
          <w:w w:val="98"/>
          <w:sz w:val="32"/>
        </w:rPr>
        <w:t>（三）突出项目导向，构建一体化课程体系</w:t>
      </w:r>
    </w:p>
    <w:p>
      <w:pPr>
        <w:pStyle w:val="24"/>
        <w:adjustRightInd w:val="0"/>
        <w:snapToGrid w:val="0"/>
        <w:spacing w:line="360" w:lineRule="auto"/>
        <w:ind w:firstLine="600"/>
        <w:rPr>
          <w:rFonts w:ascii="仿宋" w:hAnsi="仿宋" w:eastAsia="仿宋"/>
          <w:color w:val="auto"/>
          <w:sz w:val="30"/>
          <w:szCs w:val="30"/>
        </w:rPr>
      </w:pPr>
      <w:r>
        <w:rPr>
          <w:rFonts w:hint="eastAsia" w:ascii="仿宋" w:hAnsi="仿宋" w:eastAsia="仿宋"/>
          <w:color w:val="auto"/>
          <w:sz w:val="30"/>
          <w:szCs w:val="30"/>
        </w:rPr>
        <w:t>以项目为导向，依据专业培养目标，设计高度融合、高度关联的课程与项目，既注重学科知识的连续性，又注重项目能力的整合性，将专业思想、专业知识、专业技能、综合素质、职业能力等培养任务进行科学分解、融合渗入到课程与项目中去，建立从培养目标到课程体系的映射，从课程目标到各知识单元教学目标的映射，构建课程与项目相融合的一体化课程体系。在一体化课程体系设计中，每个专业应当有精心规划的逐级递进的各级项目。每门课程，特别是专业核心课程要强调三级项目的构建与实施，并以此为核心，做好单元组四级项目的设计。每个项目都要与课程、课程组密切关联，每门课程内容和相关的能力训练要融入到教学单元和项目中，教学单元之间、教学单元与项目之间产生知识性的联系和能力的整合，课程教学围绕能力与项目来设计、组织与实施。课程与项目安排采用一体化组织形式，统筹规划和安排课程体系以及项目体系，使知识传授、能力提升、素质培养和项目训练融为一体。</w:t>
      </w:r>
    </w:p>
    <w:p>
      <w:pPr>
        <w:pStyle w:val="24"/>
        <w:adjustRightInd w:val="0"/>
        <w:snapToGrid w:val="0"/>
        <w:spacing w:line="360" w:lineRule="auto"/>
        <w:ind w:firstLine="633"/>
        <w:rPr>
          <w:rFonts w:ascii="仿宋_GB2312" w:hAnsi="Times New Roman" w:eastAsia="仿宋_GB2312" w:cs="Times New Roman"/>
          <w:b/>
          <w:color w:val="auto"/>
          <w:w w:val="98"/>
          <w:kern w:val="0"/>
          <w:sz w:val="32"/>
          <w:szCs w:val="32"/>
        </w:rPr>
      </w:pPr>
      <w:r>
        <w:rPr>
          <w:rFonts w:hint="eastAsia" w:ascii="楷体" w:hAnsi="楷体" w:eastAsia="楷体"/>
          <w:b/>
          <w:bCs/>
          <w:color w:val="auto"/>
          <w:w w:val="98"/>
          <w:sz w:val="32"/>
        </w:rPr>
        <w:t>（四）加强产学合作，建设资源环境</w:t>
      </w:r>
    </w:p>
    <w:p>
      <w:pPr>
        <w:pStyle w:val="24"/>
        <w:adjustRightInd w:val="0"/>
        <w:snapToGrid w:val="0"/>
        <w:spacing w:line="360" w:lineRule="auto"/>
        <w:ind w:firstLine="600"/>
        <w:rPr>
          <w:rFonts w:ascii="仿宋" w:hAnsi="仿宋" w:eastAsia="仿宋"/>
          <w:color w:val="auto"/>
          <w:sz w:val="30"/>
          <w:szCs w:val="30"/>
        </w:rPr>
      </w:pPr>
      <w:r>
        <w:rPr>
          <w:rFonts w:hint="eastAsia" w:ascii="仿宋" w:hAnsi="仿宋" w:eastAsia="仿宋"/>
          <w:color w:val="auto"/>
          <w:sz w:val="30"/>
          <w:szCs w:val="30"/>
        </w:rPr>
        <w:t>各专业要根据专业人才培养需要，深入开展产学合作，建设课内实践与集中实践相结合、课上实践与课外实践相结合、校内实践与校外实践相结合的实践教学体系，突出面向职业岗位所需的基本技能和专业实践能力培养。要推动产业学院建设，加强政、校、行、企合作，通过联合开设课程、联合指导学生、联合建设实践</w:t>
      </w:r>
      <w:r>
        <w:rPr>
          <w:rFonts w:hint="eastAsia" w:ascii="仿宋" w:hAnsi="仿宋" w:eastAsia="仿宋"/>
          <w:color w:val="auto"/>
          <w:sz w:val="30"/>
          <w:szCs w:val="30"/>
          <w:lang w:val="en-US" w:eastAsia="zh-CN"/>
        </w:rPr>
        <w:t>教学</w:t>
      </w:r>
      <w:r>
        <w:rPr>
          <w:rFonts w:hint="eastAsia" w:ascii="仿宋" w:hAnsi="仿宋" w:eastAsia="仿宋"/>
          <w:color w:val="auto"/>
          <w:sz w:val="30"/>
          <w:szCs w:val="30"/>
        </w:rPr>
        <w:t>基地等形式，充分利用校内外实践教学资源。要加强教学资源与环境建设，努力构建各专业相关行业的仿真、模拟、真实的教育教学环境和实践</w:t>
      </w:r>
      <w:r>
        <w:rPr>
          <w:rFonts w:hint="eastAsia" w:ascii="仿宋" w:hAnsi="仿宋" w:eastAsia="仿宋"/>
          <w:color w:val="auto"/>
          <w:sz w:val="30"/>
          <w:szCs w:val="30"/>
          <w:lang w:val="en-US" w:eastAsia="zh-CN"/>
        </w:rPr>
        <w:t>教学</w:t>
      </w:r>
      <w:r>
        <w:rPr>
          <w:rFonts w:hint="eastAsia" w:ascii="仿宋" w:hAnsi="仿宋" w:eastAsia="仿宋"/>
          <w:color w:val="auto"/>
          <w:sz w:val="30"/>
          <w:szCs w:val="30"/>
        </w:rPr>
        <w:t>基地，积极建设基于行业企业的项目库、案例库、试题库和系列教材，全面推进TOPCARES教育教学改革进课程、进项目、进教材。要加强创新创业课程建设，推动专创融合教育，在专业课程中激发学生的创新思维、创业意识，营造有利于学生创新创业的校园文化，培养学生的创新创业精神与能力。</w:t>
      </w:r>
    </w:p>
    <w:p>
      <w:pPr>
        <w:pStyle w:val="25"/>
        <w:keepNext w:val="0"/>
        <w:keepLines w:val="0"/>
        <w:pageBreakBefore w:val="0"/>
        <w:widowControl w:val="0"/>
        <w:numPr>
          <w:ilvl w:val="0"/>
          <w:numId w:val="1"/>
        </w:numPr>
        <w:kinsoku/>
        <w:wordWrap/>
        <w:overflowPunct/>
        <w:topLinePunct w:val="0"/>
        <w:autoSpaceDE/>
        <w:autoSpaceDN/>
        <w:bidi w:val="0"/>
        <w:adjustRightInd/>
        <w:snapToGrid/>
        <w:spacing w:before="120" w:beforeLines="50" w:after="120" w:afterLines="50" w:line="360" w:lineRule="auto"/>
        <w:ind w:left="0" w:firstLine="640" w:firstLineChars="200"/>
        <w:textAlignment w:val="auto"/>
        <w:rPr>
          <w:rFonts w:hint="default" w:ascii="黑体" w:hAnsi="黑体" w:eastAsia="黑体"/>
          <w:color w:val="auto"/>
          <w:sz w:val="32"/>
          <w:szCs w:val="32"/>
          <w:lang w:val="en-US" w:eastAsia="zh-CN"/>
        </w:rPr>
      </w:pPr>
      <w:r>
        <w:rPr>
          <w:rFonts w:hint="eastAsia" w:ascii="黑体" w:hAnsi="黑体" w:eastAsia="黑体"/>
          <w:color w:val="auto"/>
          <w:sz w:val="32"/>
          <w:szCs w:val="32"/>
          <w:lang w:val="en-US" w:eastAsia="zh-CN"/>
        </w:rPr>
        <w:t>修订重点</w:t>
      </w:r>
    </w:p>
    <w:p>
      <w:pPr>
        <w:pStyle w:val="24"/>
        <w:adjustRightInd w:val="0"/>
        <w:snapToGrid w:val="0"/>
        <w:spacing w:line="360" w:lineRule="auto"/>
        <w:ind w:firstLine="600"/>
        <w:rPr>
          <w:rFonts w:hint="default" w:ascii="仿宋" w:hAnsi="仿宋" w:eastAsia="仿宋"/>
          <w:color w:val="auto"/>
          <w:sz w:val="30"/>
          <w:szCs w:val="30"/>
          <w:lang w:val="en-US" w:eastAsia="zh-CN"/>
        </w:rPr>
      </w:pPr>
      <w:r>
        <w:rPr>
          <w:rFonts w:hint="eastAsia" w:ascii="仿宋" w:hAnsi="仿宋" w:eastAsia="仿宋"/>
          <w:b w:val="0"/>
          <w:bCs w:val="0"/>
          <w:color w:val="auto"/>
          <w:sz w:val="30"/>
          <w:szCs w:val="30"/>
          <w:lang w:val="en-US" w:eastAsia="zh-CN"/>
        </w:rPr>
        <w:t>科学制定</w:t>
      </w:r>
      <w:r>
        <w:rPr>
          <w:rFonts w:hint="eastAsia" w:ascii="仿宋" w:hAnsi="仿宋" w:eastAsia="仿宋"/>
          <w:color w:val="auto"/>
          <w:sz w:val="30"/>
          <w:szCs w:val="30"/>
          <w:lang w:val="en-US" w:eastAsia="zh-CN"/>
        </w:rPr>
        <w:t>专业人才</w:t>
      </w:r>
      <w:r>
        <w:rPr>
          <w:rFonts w:hint="eastAsia" w:ascii="仿宋" w:hAnsi="仿宋" w:eastAsia="仿宋"/>
          <w:b w:val="0"/>
          <w:bCs w:val="0"/>
          <w:color w:val="auto"/>
          <w:sz w:val="30"/>
          <w:szCs w:val="30"/>
          <w:lang w:val="en-US" w:eastAsia="zh-CN"/>
        </w:rPr>
        <w:t>培养方案，</w:t>
      </w:r>
      <w:r>
        <w:rPr>
          <w:rFonts w:hint="eastAsia" w:ascii="仿宋" w:hAnsi="仿宋" w:eastAsia="仿宋"/>
          <w:color w:val="auto"/>
          <w:sz w:val="30"/>
          <w:szCs w:val="30"/>
          <w:lang w:val="en-US" w:eastAsia="zh-CN"/>
        </w:rPr>
        <w:t>方案制定（修订）过程须</w:t>
      </w:r>
      <w:r>
        <w:rPr>
          <w:rFonts w:hint="eastAsia" w:ascii="仿宋" w:hAnsi="仿宋" w:eastAsia="仿宋"/>
          <w:b w:val="0"/>
          <w:bCs w:val="0"/>
          <w:color w:val="auto"/>
          <w:sz w:val="30"/>
          <w:szCs w:val="30"/>
          <w:lang w:val="en-US" w:eastAsia="zh-CN"/>
        </w:rPr>
        <w:t>广泛调研、充分论证。</w:t>
      </w:r>
    </w:p>
    <w:p>
      <w:pPr>
        <w:pStyle w:val="24"/>
        <w:adjustRightInd w:val="0"/>
        <w:snapToGrid w:val="0"/>
        <w:spacing w:line="360" w:lineRule="auto"/>
        <w:ind w:firstLine="600"/>
        <w:rPr>
          <w:rFonts w:hint="eastAsia" w:ascii="仿宋" w:hAnsi="仿宋" w:eastAsia="仿宋"/>
          <w:b w:val="0"/>
          <w:bCs w:val="0"/>
          <w:color w:val="auto"/>
          <w:sz w:val="30"/>
          <w:szCs w:val="30"/>
          <w:lang w:val="en-US" w:eastAsia="zh-CN"/>
        </w:rPr>
      </w:pPr>
      <w:r>
        <w:rPr>
          <w:rFonts w:hint="eastAsia" w:ascii="仿宋" w:hAnsi="仿宋" w:eastAsia="仿宋"/>
          <w:b w:val="0"/>
          <w:bCs w:val="0"/>
          <w:color w:val="auto"/>
          <w:sz w:val="30"/>
          <w:szCs w:val="30"/>
          <w:lang w:val="en-US" w:eastAsia="zh-CN"/>
        </w:rPr>
        <w:t>2021年新增专业遵照国标，严格按照TOPCARES一体化的设计理念和方法，遵循学校的指导思想、基本原则、课程设置要求等。</w:t>
      </w:r>
    </w:p>
    <w:p>
      <w:pPr>
        <w:pStyle w:val="24"/>
        <w:adjustRightInd w:val="0"/>
        <w:snapToGrid w:val="0"/>
        <w:spacing w:line="360" w:lineRule="auto"/>
        <w:ind w:firstLine="600"/>
        <w:rPr>
          <w:rFonts w:hint="eastAsia" w:ascii="仿宋" w:hAnsi="仿宋" w:eastAsia="仿宋"/>
          <w:color w:val="auto"/>
          <w:sz w:val="30"/>
          <w:szCs w:val="30"/>
          <w:lang w:val="en-US" w:eastAsia="zh-CN"/>
        </w:rPr>
      </w:pPr>
      <w:r>
        <w:rPr>
          <w:rFonts w:hint="eastAsia" w:ascii="仿宋" w:hAnsi="仿宋" w:eastAsia="仿宋"/>
          <w:b w:val="0"/>
          <w:bCs w:val="0"/>
          <w:color w:val="auto"/>
          <w:sz w:val="30"/>
          <w:szCs w:val="30"/>
          <w:lang w:val="en-US" w:eastAsia="zh-CN"/>
        </w:rPr>
        <w:t>2020年已开设专业，在保持</w:t>
      </w:r>
      <w:r>
        <w:rPr>
          <w:rFonts w:hint="eastAsia" w:ascii="仿宋" w:hAnsi="仿宋" w:eastAsia="仿宋"/>
          <w:color w:val="auto"/>
          <w:sz w:val="30"/>
          <w:szCs w:val="30"/>
          <w:lang w:val="en-US" w:eastAsia="zh-CN"/>
        </w:rPr>
        <w:t>专业课程体系基本稳定的基础上进行2021级人才培养方案的</w:t>
      </w:r>
      <w:r>
        <w:rPr>
          <w:rFonts w:hint="eastAsia" w:ascii="仿宋" w:hAnsi="仿宋" w:eastAsia="仿宋"/>
          <w:b w:val="0"/>
          <w:bCs w:val="0"/>
          <w:color w:val="auto"/>
          <w:sz w:val="30"/>
          <w:szCs w:val="30"/>
          <w:lang w:val="en-US" w:eastAsia="zh-CN"/>
        </w:rPr>
        <w:t>修订工作</w:t>
      </w:r>
      <w:r>
        <w:rPr>
          <w:rFonts w:hint="eastAsia" w:ascii="仿宋" w:hAnsi="仿宋" w:eastAsia="仿宋"/>
          <w:color w:val="auto"/>
          <w:sz w:val="30"/>
          <w:szCs w:val="30"/>
          <w:lang w:val="en-US" w:eastAsia="zh-CN"/>
        </w:rPr>
        <w:t>。原则上，延续2020级专业必修课程设置，选修课程可根据经济社会发展需求进行微调，微调的课程须符合国标要求。</w:t>
      </w:r>
    </w:p>
    <w:p>
      <w:pPr>
        <w:pStyle w:val="24"/>
        <w:adjustRightInd w:val="0"/>
        <w:snapToGrid w:val="0"/>
        <w:spacing w:line="360" w:lineRule="auto"/>
        <w:ind w:left="0" w:leftChars="0" w:firstLine="600" w:firstLineChars="200"/>
        <w:rPr>
          <w:rFonts w:hint="default" w:ascii="仿宋" w:hAnsi="仿宋" w:eastAsia="仿宋"/>
          <w:b w:val="0"/>
          <w:bCs w:val="0"/>
          <w:color w:val="auto"/>
          <w:sz w:val="30"/>
          <w:szCs w:val="30"/>
          <w:lang w:val="en-US" w:eastAsia="zh-CN"/>
        </w:rPr>
      </w:pPr>
      <w:r>
        <w:rPr>
          <w:rFonts w:hint="eastAsia" w:ascii="仿宋" w:hAnsi="仿宋" w:eastAsia="仿宋"/>
          <w:b w:val="0"/>
          <w:bCs w:val="0"/>
          <w:color w:val="auto"/>
          <w:sz w:val="30"/>
          <w:szCs w:val="30"/>
          <w:lang w:val="en-US" w:eastAsia="zh-CN"/>
        </w:rPr>
        <w:t>（一）以思政课程为基础，以课程思政为抓手，深入挖掘专业课程所蕴含的思想政治教育元素，并且体现于培养规格和专业 TOPCARES 能力指标体系中。各专业必须开设《专业导论》课程，在课程设计中根据专业实际情况融入思政内容。</w:t>
      </w:r>
    </w:p>
    <w:p>
      <w:pPr>
        <w:pStyle w:val="24"/>
        <w:adjustRightInd w:val="0"/>
        <w:snapToGrid w:val="0"/>
        <w:spacing w:line="360" w:lineRule="auto"/>
        <w:ind w:firstLine="600"/>
        <w:rPr>
          <w:rFonts w:hint="default" w:ascii="仿宋" w:hAnsi="仿宋" w:eastAsia="仿宋"/>
          <w:b w:val="0"/>
          <w:bCs w:val="0"/>
          <w:color w:val="auto"/>
          <w:sz w:val="30"/>
          <w:szCs w:val="30"/>
          <w:lang w:val="en-US" w:eastAsia="zh-CN"/>
        </w:rPr>
      </w:pPr>
      <w:r>
        <w:rPr>
          <w:rFonts w:hint="eastAsia" w:ascii="仿宋" w:hAnsi="仿宋" w:eastAsia="仿宋"/>
          <w:b w:val="0"/>
          <w:bCs w:val="0"/>
          <w:color w:val="auto"/>
          <w:sz w:val="30"/>
          <w:szCs w:val="30"/>
          <w:lang w:val="en-US" w:eastAsia="zh-CN"/>
        </w:rPr>
        <w:t>（二）通识必修课中有如下变动：</w:t>
      </w:r>
      <w:r>
        <w:rPr>
          <w:rFonts w:hint="eastAsia" w:ascii="仿宋" w:hAnsi="仿宋" w:eastAsia="仿宋"/>
          <w:b w:val="0"/>
          <w:bCs w:val="0"/>
          <w:color w:val="auto"/>
          <w:sz w:val="30"/>
          <w:szCs w:val="30"/>
          <w:highlight w:val="none"/>
          <w:lang w:val="en-US" w:eastAsia="zh-CN"/>
        </w:rPr>
        <w:t>思政类课程增设2学分思政实践课，其它思政课学分相应减少，总学分保持不变；</w:t>
      </w:r>
      <w:r>
        <w:rPr>
          <w:rFonts w:hint="eastAsia" w:ascii="仿宋" w:hAnsi="仿宋" w:eastAsia="仿宋"/>
          <w:b w:val="0"/>
          <w:bCs w:val="0"/>
          <w:color w:val="auto"/>
          <w:sz w:val="30"/>
          <w:szCs w:val="30"/>
          <w:lang w:val="en-US" w:eastAsia="zh-CN"/>
        </w:rPr>
        <w:t>素质类课程《劳动教育》设置0.5学分，理论学时8学时。</w:t>
      </w:r>
    </w:p>
    <w:p>
      <w:pPr>
        <w:pStyle w:val="24"/>
        <w:adjustRightInd w:val="0"/>
        <w:snapToGrid w:val="0"/>
        <w:spacing w:line="360" w:lineRule="auto"/>
        <w:ind w:firstLine="600"/>
        <w:rPr>
          <w:rFonts w:hint="eastAsia" w:ascii="仿宋" w:hAnsi="仿宋" w:eastAsia="仿宋"/>
          <w:b w:val="0"/>
          <w:bCs w:val="0"/>
          <w:color w:val="auto"/>
          <w:sz w:val="30"/>
          <w:szCs w:val="30"/>
          <w:lang w:val="en-US" w:eastAsia="zh-CN"/>
        </w:rPr>
      </w:pPr>
      <w:r>
        <w:rPr>
          <w:rFonts w:hint="eastAsia" w:ascii="仿宋" w:hAnsi="仿宋" w:eastAsia="仿宋"/>
          <w:b w:val="0"/>
          <w:bCs w:val="0"/>
          <w:color w:val="auto"/>
          <w:sz w:val="30"/>
          <w:szCs w:val="30"/>
          <w:lang w:val="en-US" w:eastAsia="zh-CN"/>
        </w:rPr>
        <w:t>（三）建议有条件的专业，在专业选修课中开设《XXXX专业创新实践课》，授课形式为：理论授课+实践教学（项目、活动、学科竞赛等），其中实践教学课时应超过70%，学生修完考核合格后将获得创新创业及素质教育实践学分。</w:t>
      </w:r>
    </w:p>
    <w:p>
      <w:pPr>
        <w:pStyle w:val="24"/>
        <w:adjustRightInd w:val="0"/>
        <w:snapToGrid w:val="0"/>
        <w:spacing w:line="360" w:lineRule="auto"/>
        <w:ind w:firstLine="600"/>
        <w:rPr>
          <w:rFonts w:hint="eastAsia" w:ascii="仿宋" w:hAnsi="仿宋" w:eastAsia="仿宋"/>
          <w:b w:val="0"/>
          <w:bCs w:val="0"/>
          <w:color w:val="auto"/>
          <w:sz w:val="30"/>
          <w:szCs w:val="30"/>
          <w:lang w:val="en-US" w:eastAsia="zh-CN"/>
        </w:rPr>
      </w:pPr>
      <w:r>
        <w:rPr>
          <w:rFonts w:hint="eastAsia" w:ascii="仿宋" w:hAnsi="仿宋" w:eastAsia="仿宋"/>
          <w:b w:val="0"/>
          <w:bCs w:val="0"/>
          <w:color w:val="auto"/>
          <w:sz w:val="30"/>
          <w:szCs w:val="30"/>
          <w:lang w:val="en-US" w:eastAsia="zh-CN"/>
        </w:rPr>
        <w:t>（四）通识选修课中开设一门创新创业实践课，面向全校学生，计算为创新创业及素质教育实践学分，实践课时应超过70%。</w:t>
      </w:r>
    </w:p>
    <w:p>
      <w:pPr>
        <w:pStyle w:val="24"/>
        <w:adjustRightInd w:val="0"/>
        <w:snapToGrid w:val="0"/>
        <w:spacing w:line="360" w:lineRule="auto"/>
        <w:ind w:firstLine="600"/>
        <w:rPr>
          <w:rFonts w:hint="default" w:ascii="仿宋" w:hAnsi="仿宋" w:eastAsia="仿宋"/>
          <w:b w:val="0"/>
          <w:bCs w:val="0"/>
          <w:color w:val="auto"/>
          <w:sz w:val="30"/>
          <w:szCs w:val="30"/>
          <w:lang w:val="en-US" w:eastAsia="zh-CN"/>
        </w:rPr>
      </w:pPr>
      <w:r>
        <w:rPr>
          <w:rFonts w:hint="eastAsia" w:ascii="仿宋" w:hAnsi="仿宋" w:eastAsia="仿宋"/>
          <w:b w:val="0"/>
          <w:bCs w:val="0"/>
          <w:color w:val="auto"/>
          <w:sz w:val="30"/>
          <w:szCs w:val="30"/>
          <w:lang w:val="en-US" w:eastAsia="zh-CN"/>
        </w:rPr>
        <w:t>（五）集中实践环节《项目实训》改为8学分，对应周数为8周（商务英语和日语专业为4学分，对应周数为4周）。《毕业设计》改为6学分，对应周数保持不变。</w:t>
      </w:r>
    </w:p>
    <w:p>
      <w:pPr>
        <w:pStyle w:val="25"/>
        <w:keepNext w:val="0"/>
        <w:keepLines w:val="0"/>
        <w:pageBreakBefore w:val="0"/>
        <w:widowControl w:val="0"/>
        <w:numPr>
          <w:ilvl w:val="0"/>
          <w:numId w:val="1"/>
        </w:numPr>
        <w:kinsoku/>
        <w:wordWrap/>
        <w:overflowPunct/>
        <w:topLinePunct w:val="0"/>
        <w:autoSpaceDE/>
        <w:autoSpaceDN/>
        <w:bidi w:val="0"/>
        <w:adjustRightInd/>
        <w:snapToGrid/>
        <w:spacing w:before="120" w:beforeLines="50" w:after="120" w:afterLines="50" w:line="360" w:lineRule="auto"/>
        <w:ind w:left="0" w:firstLine="640" w:firstLineChars="200"/>
        <w:textAlignment w:val="auto"/>
        <w:rPr>
          <w:rFonts w:hint="eastAsia" w:ascii="黑体" w:hAnsi="黑体" w:eastAsia="黑体"/>
          <w:color w:val="auto"/>
          <w:sz w:val="32"/>
          <w:szCs w:val="32"/>
        </w:rPr>
      </w:pPr>
      <w:r>
        <w:rPr>
          <w:rFonts w:hint="eastAsia" w:ascii="黑体" w:hAnsi="黑体" w:eastAsia="黑体"/>
          <w:color w:val="auto"/>
          <w:sz w:val="32"/>
          <w:szCs w:val="32"/>
        </w:rPr>
        <w:t>职责分工</w:t>
      </w:r>
    </w:p>
    <w:p>
      <w:pPr>
        <w:pStyle w:val="24"/>
        <w:adjustRightInd w:val="0"/>
        <w:snapToGrid w:val="0"/>
        <w:spacing w:line="360" w:lineRule="auto"/>
        <w:ind w:firstLine="600"/>
        <w:rPr>
          <w:rFonts w:ascii="仿宋" w:hAnsi="仿宋" w:eastAsia="仿宋"/>
          <w:color w:val="auto"/>
          <w:sz w:val="30"/>
          <w:szCs w:val="30"/>
        </w:rPr>
      </w:pPr>
      <w:r>
        <w:rPr>
          <w:rFonts w:hint="eastAsia" w:ascii="仿宋" w:hAnsi="仿宋" w:eastAsia="仿宋"/>
          <w:color w:val="auto"/>
          <w:sz w:val="30"/>
          <w:szCs w:val="30"/>
        </w:rPr>
        <w:t>（一）教务部负责全校人才培养方案</w:t>
      </w:r>
      <w:r>
        <w:rPr>
          <w:rFonts w:hint="eastAsia" w:ascii="仿宋" w:hAnsi="仿宋" w:eastAsia="仿宋"/>
          <w:color w:val="auto"/>
          <w:sz w:val="30"/>
          <w:szCs w:val="30"/>
          <w:lang w:val="en-US" w:eastAsia="zh-CN"/>
        </w:rPr>
        <w:t>制定（</w:t>
      </w:r>
      <w:r>
        <w:rPr>
          <w:rFonts w:hint="eastAsia" w:ascii="仿宋" w:hAnsi="仿宋" w:eastAsia="仿宋"/>
          <w:color w:val="auto"/>
          <w:sz w:val="30"/>
          <w:szCs w:val="30"/>
        </w:rPr>
        <w:t>修订</w:t>
      </w:r>
      <w:r>
        <w:rPr>
          <w:rFonts w:hint="eastAsia" w:ascii="仿宋" w:hAnsi="仿宋" w:eastAsia="仿宋"/>
          <w:color w:val="auto"/>
          <w:sz w:val="30"/>
          <w:szCs w:val="30"/>
          <w:lang w:val="en-US" w:eastAsia="zh-CN"/>
        </w:rPr>
        <w:t>）</w:t>
      </w:r>
      <w:r>
        <w:rPr>
          <w:rFonts w:hint="eastAsia" w:ascii="仿宋" w:hAnsi="仿宋" w:eastAsia="仿宋"/>
          <w:color w:val="auto"/>
          <w:sz w:val="30"/>
          <w:szCs w:val="30"/>
        </w:rPr>
        <w:t>的组</w:t>
      </w:r>
      <w:bookmarkStart w:id="0" w:name="_GoBack"/>
      <w:bookmarkEnd w:id="0"/>
      <w:r>
        <w:rPr>
          <w:rFonts w:hint="eastAsia" w:ascii="仿宋" w:hAnsi="仿宋" w:eastAsia="仿宋"/>
          <w:color w:val="auto"/>
          <w:sz w:val="30"/>
          <w:szCs w:val="30"/>
        </w:rPr>
        <w:t>织、协调和统筹工作，提出</w:t>
      </w:r>
      <w:r>
        <w:rPr>
          <w:rFonts w:hint="eastAsia" w:ascii="仿宋" w:hAnsi="仿宋" w:eastAsia="仿宋"/>
          <w:color w:val="auto"/>
          <w:sz w:val="30"/>
          <w:szCs w:val="30"/>
          <w:lang w:val="en-US" w:eastAsia="zh-CN"/>
        </w:rPr>
        <w:t>制定（修订）</w:t>
      </w:r>
      <w:r>
        <w:rPr>
          <w:rFonts w:hint="eastAsia" w:ascii="仿宋" w:hAnsi="仿宋" w:eastAsia="仿宋"/>
          <w:color w:val="auto"/>
          <w:sz w:val="30"/>
          <w:szCs w:val="30"/>
        </w:rPr>
        <w:t>202</w:t>
      </w:r>
      <w:r>
        <w:rPr>
          <w:rFonts w:hint="eastAsia" w:ascii="仿宋" w:hAnsi="仿宋" w:eastAsia="仿宋"/>
          <w:color w:val="auto"/>
          <w:sz w:val="30"/>
          <w:szCs w:val="30"/>
          <w:lang w:val="en-US" w:eastAsia="zh-CN"/>
        </w:rPr>
        <w:t>1级本科</w:t>
      </w:r>
      <w:r>
        <w:rPr>
          <w:rFonts w:hint="eastAsia" w:ascii="仿宋" w:hAnsi="仿宋" w:eastAsia="仿宋"/>
          <w:color w:val="auto"/>
          <w:sz w:val="30"/>
          <w:szCs w:val="30"/>
        </w:rPr>
        <w:t>专业人才培养方案的原则意见。</w:t>
      </w:r>
    </w:p>
    <w:p>
      <w:pPr>
        <w:pStyle w:val="24"/>
        <w:adjustRightInd w:val="0"/>
        <w:snapToGrid w:val="0"/>
        <w:spacing w:line="360" w:lineRule="auto"/>
        <w:ind w:firstLine="600"/>
        <w:rPr>
          <w:rFonts w:ascii="仿宋" w:hAnsi="仿宋" w:eastAsia="仿宋"/>
          <w:color w:val="auto"/>
          <w:sz w:val="30"/>
          <w:szCs w:val="30"/>
        </w:rPr>
      </w:pPr>
      <w:r>
        <w:rPr>
          <w:rFonts w:hint="eastAsia" w:ascii="仿宋" w:hAnsi="仿宋" w:eastAsia="仿宋"/>
          <w:color w:val="auto"/>
          <w:sz w:val="30"/>
          <w:szCs w:val="30"/>
        </w:rPr>
        <w:t>（二）各</w:t>
      </w:r>
      <w:r>
        <w:rPr>
          <w:rFonts w:hint="eastAsia" w:ascii="仿宋" w:hAnsi="仿宋" w:eastAsia="仿宋"/>
          <w:color w:val="auto"/>
          <w:sz w:val="30"/>
          <w:szCs w:val="30"/>
          <w:u w:val="none"/>
          <w:lang w:val="en-US" w:eastAsia="zh-CN"/>
        </w:rPr>
        <w:t>专业负责人</w:t>
      </w:r>
      <w:r>
        <w:rPr>
          <w:rFonts w:hint="eastAsia" w:ascii="仿宋" w:hAnsi="仿宋" w:eastAsia="仿宋"/>
          <w:color w:val="auto"/>
          <w:sz w:val="30"/>
          <w:szCs w:val="30"/>
        </w:rPr>
        <w:t>作为培养方案</w:t>
      </w:r>
      <w:r>
        <w:rPr>
          <w:rFonts w:hint="eastAsia" w:ascii="仿宋" w:hAnsi="仿宋" w:eastAsia="仿宋"/>
          <w:color w:val="auto"/>
          <w:sz w:val="30"/>
          <w:szCs w:val="30"/>
          <w:lang w:val="en-US" w:eastAsia="zh-CN"/>
        </w:rPr>
        <w:t>制定（</w:t>
      </w:r>
      <w:r>
        <w:rPr>
          <w:rFonts w:hint="eastAsia" w:ascii="仿宋" w:hAnsi="仿宋" w:eastAsia="仿宋"/>
          <w:color w:val="auto"/>
          <w:sz w:val="30"/>
          <w:szCs w:val="30"/>
        </w:rPr>
        <w:t>修订</w:t>
      </w:r>
      <w:r>
        <w:rPr>
          <w:rFonts w:hint="eastAsia" w:ascii="仿宋" w:hAnsi="仿宋" w:eastAsia="仿宋"/>
          <w:color w:val="auto"/>
          <w:sz w:val="30"/>
          <w:szCs w:val="30"/>
          <w:lang w:val="en-US" w:eastAsia="zh-CN"/>
        </w:rPr>
        <w:t>）</w:t>
      </w:r>
      <w:r>
        <w:rPr>
          <w:rFonts w:hint="eastAsia" w:ascii="仿宋" w:hAnsi="仿宋" w:eastAsia="仿宋"/>
          <w:color w:val="auto"/>
          <w:sz w:val="30"/>
          <w:szCs w:val="30"/>
        </w:rPr>
        <w:t>的第一责任人，全面负责本学院各专业人才培养方案的</w:t>
      </w:r>
      <w:r>
        <w:rPr>
          <w:rFonts w:hint="eastAsia" w:ascii="仿宋" w:hAnsi="仿宋" w:eastAsia="仿宋"/>
          <w:color w:val="auto"/>
          <w:sz w:val="30"/>
          <w:szCs w:val="30"/>
          <w:lang w:val="en-US" w:eastAsia="zh-CN"/>
        </w:rPr>
        <w:t>制定（</w:t>
      </w:r>
      <w:r>
        <w:rPr>
          <w:rFonts w:hint="eastAsia" w:ascii="仿宋" w:hAnsi="仿宋" w:eastAsia="仿宋"/>
          <w:color w:val="auto"/>
          <w:sz w:val="30"/>
          <w:szCs w:val="30"/>
        </w:rPr>
        <w:t>修订</w:t>
      </w:r>
      <w:r>
        <w:rPr>
          <w:rFonts w:hint="eastAsia" w:ascii="仿宋" w:hAnsi="仿宋" w:eastAsia="仿宋"/>
          <w:color w:val="auto"/>
          <w:sz w:val="30"/>
          <w:szCs w:val="30"/>
          <w:lang w:val="en-US" w:eastAsia="zh-CN"/>
        </w:rPr>
        <w:t>）</w:t>
      </w:r>
      <w:r>
        <w:rPr>
          <w:rFonts w:hint="eastAsia" w:ascii="仿宋" w:hAnsi="仿宋" w:eastAsia="仿宋"/>
          <w:color w:val="auto"/>
          <w:sz w:val="30"/>
          <w:szCs w:val="30"/>
        </w:rPr>
        <w:t>工作</w:t>
      </w:r>
      <w:r>
        <w:rPr>
          <w:rFonts w:hint="eastAsia" w:ascii="仿宋" w:hAnsi="仿宋" w:eastAsia="仿宋"/>
          <w:color w:val="auto"/>
          <w:sz w:val="30"/>
          <w:szCs w:val="30"/>
          <w:lang w:eastAsia="zh-CN"/>
        </w:rPr>
        <w:t>，</w:t>
      </w:r>
      <w:r>
        <w:rPr>
          <w:rFonts w:hint="eastAsia" w:ascii="仿宋" w:hAnsi="仿宋" w:eastAsia="仿宋"/>
          <w:color w:val="auto"/>
          <w:sz w:val="30"/>
          <w:szCs w:val="30"/>
          <w:lang w:val="en-US" w:eastAsia="zh-CN"/>
        </w:rPr>
        <w:t>在认真学习2020年和2021年人才培养方案指导意见的基础上，</w:t>
      </w:r>
      <w:r>
        <w:rPr>
          <w:rFonts w:hint="eastAsia" w:ascii="仿宋" w:hAnsi="仿宋" w:eastAsia="仿宋"/>
          <w:color w:val="auto"/>
          <w:sz w:val="30"/>
          <w:szCs w:val="30"/>
        </w:rPr>
        <w:t>广泛调研，充分论证，借鉴国内外相关专业的人才培养方案，</w:t>
      </w:r>
      <w:r>
        <w:rPr>
          <w:rFonts w:hint="eastAsia" w:ascii="仿宋" w:hAnsi="仿宋" w:eastAsia="仿宋"/>
          <w:color w:val="auto"/>
          <w:sz w:val="30"/>
          <w:szCs w:val="30"/>
          <w:lang w:val="en-US" w:eastAsia="zh-CN"/>
        </w:rPr>
        <w:t>制定（</w:t>
      </w:r>
      <w:r>
        <w:rPr>
          <w:rFonts w:hint="eastAsia" w:ascii="仿宋" w:hAnsi="仿宋" w:eastAsia="仿宋"/>
          <w:color w:val="auto"/>
          <w:sz w:val="30"/>
          <w:szCs w:val="30"/>
        </w:rPr>
        <w:t>修订</w:t>
      </w:r>
      <w:r>
        <w:rPr>
          <w:rFonts w:hint="eastAsia" w:ascii="仿宋" w:hAnsi="仿宋" w:eastAsia="仿宋"/>
          <w:color w:val="auto"/>
          <w:sz w:val="30"/>
          <w:szCs w:val="30"/>
          <w:lang w:val="en-US" w:eastAsia="zh-CN"/>
        </w:rPr>
        <w:t>）2021级本科人才培养方案，并由各学院组织教学指导分委员会进行审议</w:t>
      </w:r>
      <w:r>
        <w:rPr>
          <w:rFonts w:hint="eastAsia" w:ascii="仿宋" w:hAnsi="仿宋" w:eastAsia="仿宋"/>
          <w:color w:val="auto"/>
          <w:sz w:val="30"/>
          <w:szCs w:val="30"/>
        </w:rPr>
        <w:t>。</w:t>
      </w:r>
    </w:p>
    <w:p>
      <w:pPr>
        <w:pStyle w:val="24"/>
        <w:adjustRightInd w:val="0"/>
        <w:snapToGrid w:val="0"/>
        <w:spacing w:line="360" w:lineRule="auto"/>
        <w:ind w:firstLine="600"/>
        <w:rPr>
          <w:rFonts w:ascii="仿宋" w:hAnsi="仿宋" w:eastAsia="仿宋"/>
          <w:color w:val="auto"/>
          <w:sz w:val="30"/>
          <w:szCs w:val="30"/>
        </w:rPr>
      </w:pPr>
      <w:r>
        <w:rPr>
          <w:rFonts w:hint="eastAsia" w:ascii="仿宋" w:hAnsi="仿宋" w:eastAsia="仿宋"/>
          <w:color w:val="auto"/>
          <w:sz w:val="30"/>
          <w:szCs w:val="30"/>
        </w:rPr>
        <w:t>（三）经学校教学指导委员会组织评审论证</w:t>
      </w:r>
      <w:r>
        <w:rPr>
          <w:rFonts w:hint="eastAsia" w:ascii="仿宋" w:hAnsi="仿宋" w:eastAsia="仿宋"/>
          <w:color w:val="auto"/>
          <w:sz w:val="30"/>
          <w:szCs w:val="30"/>
          <w:lang w:eastAsia="zh-CN"/>
        </w:rPr>
        <w:t>，</w:t>
      </w:r>
      <w:r>
        <w:rPr>
          <w:rFonts w:hint="eastAsia" w:ascii="仿宋" w:hAnsi="仿宋" w:eastAsia="仿宋"/>
          <w:color w:val="auto"/>
          <w:sz w:val="30"/>
          <w:szCs w:val="30"/>
          <w:lang w:val="en-US" w:eastAsia="zh-CN"/>
        </w:rPr>
        <w:t>报集团专业教学委员会审核通过后</w:t>
      </w:r>
      <w:r>
        <w:rPr>
          <w:rFonts w:hint="eastAsia" w:ascii="仿宋" w:hAnsi="仿宋" w:eastAsia="仿宋"/>
          <w:color w:val="auto"/>
          <w:sz w:val="30"/>
          <w:szCs w:val="30"/>
        </w:rPr>
        <w:t>组织实施</w:t>
      </w:r>
      <w:r>
        <w:rPr>
          <w:rFonts w:ascii="仿宋" w:hAnsi="仿宋" w:eastAsia="仿宋"/>
          <w:color w:val="auto"/>
          <w:sz w:val="30"/>
          <w:szCs w:val="30"/>
        </w:rPr>
        <w:t>。</w:t>
      </w:r>
      <w:r>
        <w:rPr>
          <w:rFonts w:hint="eastAsia" w:ascii="仿宋" w:hAnsi="仿宋" w:eastAsia="仿宋"/>
          <w:color w:val="auto"/>
          <w:sz w:val="30"/>
          <w:szCs w:val="30"/>
        </w:rPr>
        <w:t>2021</w:t>
      </w:r>
      <w:r>
        <w:rPr>
          <w:rFonts w:hint="eastAsia" w:ascii="仿宋" w:hAnsi="仿宋" w:eastAsia="仿宋"/>
          <w:color w:val="auto"/>
          <w:sz w:val="30"/>
          <w:szCs w:val="30"/>
          <w:lang w:val="en-US" w:eastAsia="zh-CN"/>
        </w:rPr>
        <w:t>级本科</w:t>
      </w:r>
      <w:r>
        <w:rPr>
          <w:rFonts w:hint="eastAsia" w:ascii="仿宋" w:hAnsi="仿宋" w:eastAsia="仿宋"/>
          <w:color w:val="auto"/>
          <w:sz w:val="30"/>
          <w:szCs w:val="30"/>
        </w:rPr>
        <w:t>人才培养方案一经确定，各学院必须严格执行，落实好责任制，不得无故随意变更。</w:t>
      </w:r>
    </w:p>
    <w:p>
      <w:pPr>
        <w:spacing w:line="640" w:lineRule="exact"/>
        <w:jc w:val="both"/>
        <w:rPr>
          <w:rFonts w:ascii="仿宋" w:hAnsi="仿宋" w:eastAsia="仿宋" w:cs="仿宋"/>
          <w:bCs/>
          <w:color w:val="auto"/>
          <w:sz w:val="32"/>
          <w:szCs w:val="32"/>
        </w:rPr>
      </w:pPr>
    </w:p>
    <w:sectPr>
      <w:pgSz w:w="11906" w:h="16838"/>
      <w:pgMar w:top="748" w:right="1797" w:bottom="618" w:left="1797"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39117F"/>
    <w:multiLevelType w:val="multilevel"/>
    <w:tmpl w:val="3939117F"/>
    <w:lvl w:ilvl="0" w:tentative="0">
      <w:start w:val="1"/>
      <w:numFmt w:val="chineseCountingThousand"/>
      <w:suff w:val="space"/>
      <w:lvlText w:val="%1、"/>
      <w:lvlJc w:val="left"/>
      <w:pPr>
        <w:ind w:left="1060" w:hanging="420"/>
      </w:pPr>
      <w:rPr>
        <w:rFonts w:hint="eastAsia"/>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4"/>
  <w:doNotDisplayPageBoundaries w:val="1"/>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658"/>
    <w:rsid w:val="0000796F"/>
    <w:rsid w:val="0001178D"/>
    <w:rsid w:val="000119B1"/>
    <w:rsid w:val="0001679E"/>
    <w:rsid w:val="0002183B"/>
    <w:rsid w:val="0002274B"/>
    <w:rsid w:val="0002741B"/>
    <w:rsid w:val="0003505D"/>
    <w:rsid w:val="00035F87"/>
    <w:rsid w:val="000433CA"/>
    <w:rsid w:val="00045087"/>
    <w:rsid w:val="00050D80"/>
    <w:rsid w:val="00051D0E"/>
    <w:rsid w:val="00051DBF"/>
    <w:rsid w:val="00064B1E"/>
    <w:rsid w:val="00066BBB"/>
    <w:rsid w:val="0007107F"/>
    <w:rsid w:val="00072F97"/>
    <w:rsid w:val="000750A2"/>
    <w:rsid w:val="00077658"/>
    <w:rsid w:val="0008334F"/>
    <w:rsid w:val="00084CA7"/>
    <w:rsid w:val="000857E2"/>
    <w:rsid w:val="000876A4"/>
    <w:rsid w:val="0009146C"/>
    <w:rsid w:val="0009226C"/>
    <w:rsid w:val="00092CB0"/>
    <w:rsid w:val="00093A43"/>
    <w:rsid w:val="00093AA6"/>
    <w:rsid w:val="0009765C"/>
    <w:rsid w:val="000A199B"/>
    <w:rsid w:val="000A2136"/>
    <w:rsid w:val="000A495A"/>
    <w:rsid w:val="000A7C9C"/>
    <w:rsid w:val="000B0229"/>
    <w:rsid w:val="000B0696"/>
    <w:rsid w:val="000B1615"/>
    <w:rsid w:val="000B4348"/>
    <w:rsid w:val="000B4AF7"/>
    <w:rsid w:val="000B66E5"/>
    <w:rsid w:val="000C58D9"/>
    <w:rsid w:val="000C67AB"/>
    <w:rsid w:val="000D2BA5"/>
    <w:rsid w:val="000E5492"/>
    <w:rsid w:val="000F168F"/>
    <w:rsid w:val="000F41CC"/>
    <w:rsid w:val="00100AF0"/>
    <w:rsid w:val="00101892"/>
    <w:rsid w:val="00102304"/>
    <w:rsid w:val="0010291C"/>
    <w:rsid w:val="00107C8D"/>
    <w:rsid w:val="001113A9"/>
    <w:rsid w:val="00111615"/>
    <w:rsid w:val="00114197"/>
    <w:rsid w:val="00114530"/>
    <w:rsid w:val="0012067A"/>
    <w:rsid w:val="00135253"/>
    <w:rsid w:val="00141405"/>
    <w:rsid w:val="0014235A"/>
    <w:rsid w:val="00147B24"/>
    <w:rsid w:val="001530BB"/>
    <w:rsid w:val="0015401D"/>
    <w:rsid w:val="00166E05"/>
    <w:rsid w:val="00174A00"/>
    <w:rsid w:val="00176D9A"/>
    <w:rsid w:val="00180AED"/>
    <w:rsid w:val="0018545F"/>
    <w:rsid w:val="00186C78"/>
    <w:rsid w:val="001941FD"/>
    <w:rsid w:val="001A5195"/>
    <w:rsid w:val="001A759F"/>
    <w:rsid w:val="001A7CD7"/>
    <w:rsid w:val="001B1A4A"/>
    <w:rsid w:val="001B1A6F"/>
    <w:rsid w:val="001C2E05"/>
    <w:rsid w:val="001C45CE"/>
    <w:rsid w:val="001C49BC"/>
    <w:rsid w:val="001C5AFA"/>
    <w:rsid w:val="001C74E6"/>
    <w:rsid w:val="001D3AB5"/>
    <w:rsid w:val="001D69FB"/>
    <w:rsid w:val="001D7300"/>
    <w:rsid w:val="001E0F7F"/>
    <w:rsid w:val="001E5A42"/>
    <w:rsid w:val="001E65A9"/>
    <w:rsid w:val="001E65F5"/>
    <w:rsid w:val="001F1DF2"/>
    <w:rsid w:val="001F762C"/>
    <w:rsid w:val="002062A7"/>
    <w:rsid w:val="002078A7"/>
    <w:rsid w:val="002103EB"/>
    <w:rsid w:val="002133E7"/>
    <w:rsid w:val="00215330"/>
    <w:rsid w:val="00230173"/>
    <w:rsid w:val="00232D51"/>
    <w:rsid w:val="00232F3B"/>
    <w:rsid w:val="00233DDC"/>
    <w:rsid w:val="002400E2"/>
    <w:rsid w:val="00243172"/>
    <w:rsid w:val="00243F5E"/>
    <w:rsid w:val="00250F98"/>
    <w:rsid w:val="002530CD"/>
    <w:rsid w:val="00260DCA"/>
    <w:rsid w:val="00267180"/>
    <w:rsid w:val="00267C92"/>
    <w:rsid w:val="00271BA6"/>
    <w:rsid w:val="002742BE"/>
    <w:rsid w:val="00281019"/>
    <w:rsid w:val="00281C7D"/>
    <w:rsid w:val="00281F65"/>
    <w:rsid w:val="00283EB4"/>
    <w:rsid w:val="0029509C"/>
    <w:rsid w:val="00296FBE"/>
    <w:rsid w:val="002A0EF0"/>
    <w:rsid w:val="002A5DA4"/>
    <w:rsid w:val="002B22BA"/>
    <w:rsid w:val="002B7366"/>
    <w:rsid w:val="002C1B67"/>
    <w:rsid w:val="002C2665"/>
    <w:rsid w:val="002C27B3"/>
    <w:rsid w:val="002C6A03"/>
    <w:rsid w:val="002D0BB3"/>
    <w:rsid w:val="002D47EF"/>
    <w:rsid w:val="002D6D14"/>
    <w:rsid w:val="002D74FD"/>
    <w:rsid w:val="002D79E7"/>
    <w:rsid w:val="002E1329"/>
    <w:rsid w:val="002E2C6B"/>
    <w:rsid w:val="002E59EA"/>
    <w:rsid w:val="002F28A5"/>
    <w:rsid w:val="002F4083"/>
    <w:rsid w:val="002F5208"/>
    <w:rsid w:val="002F6F41"/>
    <w:rsid w:val="00310EA4"/>
    <w:rsid w:val="00321964"/>
    <w:rsid w:val="003220F1"/>
    <w:rsid w:val="0032679D"/>
    <w:rsid w:val="00330800"/>
    <w:rsid w:val="00337300"/>
    <w:rsid w:val="003404C1"/>
    <w:rsid w:val="003406F4"/>
    <w:rsid w:val="00345A1A"/>
    <w:rsid w:val="00353AF4"/>
    <w:rsid w:val="0035706F"/>
    <w:rsid w:val="00360C80"/>
    <w:rsid w:val="00371223"/>
    <w:rsid w:val="003715C3"/>
    <w:rsid w:val="00377E63"/>
    <w:rsid w:val="00381F13"/>
    <w:rsid w:val="00384017"/>
    <w:rsid w:val="00387976"/>
    <w:rsid w:val="003B089F"/>
    <w:rsid w:val="003B44C5"/>
    <w:rsid w:val="003B624B"/>
    <w:rsid w:val="003C2E8A"/>
    <w:rsid w:val="003C33D8"/>
    <w:rsid w:val="003C7E46"/>
    <w:rsid w:val="003E38D2"/>
    <w:rsid w:val="003E6B37"/>
    <w:rsid w:val="003F3084"/>
    <w:rsid w:val="00403750"/>
    <w:rsid w:val="00411BBA"/>
    <w:rsid w:val="004144F7"/>
    <w:rsid w:val="00415396"/>
    <w:rsid w:val="00416199"/>
    <w:rsid w:val="00420026"/>
    <w:rsid w:val="00427B77"/>
    <w:rsid w:val="00436CBF"/>
    <w:rsid w:val="00441F49"/>
    <w:rsid w:val="00443B23"/>
    <w:rsid w:val="00445144"/>
    <w:rsid w:val="0044619A"/>
    <w:rsid w:val="0044699F"/>
    <w:rsid w:val="0045048E"/>
    <w:rsid w:val="00450AB7"/>
    <w:rsid w:val="00450BA1"/>
    <w:rsid w:val="00454377"/>
    <w:rsid w:val="004626F1"/>
    <w:rsid w:val="004627D0"/>
    <w:rsid w:val="004644B5"/>
    <w:rsid w:val="00464DBC"/>
    <w:rsid w:val="00465918"/>
    <w:rsid w:val="00466549"/>
    <w:rsid w:val="004669F5"/>
    <w:rsid w:val="00470BFB"/>
    <w:rsid w:val="004773B2"/>
    <w:rsid w:val="0049346D"/>
    <w:rsid w:val="0049362E"/>
    <w:rsid w:val="00494414"/>
    <w:rsid w:val="00495C48"/>
    <w:rsid w:val="0049602C"/>
    <w:rsid w:val="00496C33"/>
    <w:rsid w:val="004A47A7"/>
    <w:rsid w:val="004A5CF2"/>
    <w:rsid w:val="004A5F4E"/>
    <w:rsid w:val="004A62CE"/>
    <w:rsid w:val="004B4161"/>
    <w:rsid w:val="004B55B6"/>
    <w:rsid w:val="004B60E0"/>
    <w:rsid w:val="004B75D1"/>
    <w:rsid w:val="004C2919"/>
    <w:rsid w:val="004C4A9E"/>
    <w:rsid w:val="004D314C"/>
    <w:rsid w:val="004D3CE7"/>
    <w:rsid w:val="004E0B24"/>
    <w:rsid w:val="004E1EE3"/>
    <w:rsid w:val="004E2D50"/>
    <w:rsid w:val="004E30EE"/>
    <w:rsid w:val="004E3692"/>
    <w:rsid w:val="004E3D3E"/>
    <w:rsid w:val="004E4C9D"/>
    <w:rsid w:val="004E5BD3"/>
    <w:rsid w:val="004F0C86"/>
    <w:rsid w:val="00506704"/>
    <w:rsid w:val="0050704A"/>
    <w:rsid w:val="00507EBC"/>
    <w:rsid w:val="0051369B"/>
    <w:rsid w:val="0051538C"/>
    <w:rsid w:val="00516E97"/>
    <w:rsid w:val="00524A3B"/>
    <w:rsid w:val="005264FF"/>
    <w:rsid w:val="00527F30"/>
    <w:rsid w:val="00537E86"/>
    <w:rsid w:val="00541441"/>
    <w:rsid w:val="00541BE3"/>
    <w:rsid w:val="00541D0A"/>
    <w:rsid w:val="00551616"/>
    <w:rsid w:val="0055244A"/>
    <w:rsid w:val="00563091"/>
    <w:rsid w:val="00572077"/>
    <w:rsid w:val="00575EA0"/>
    <w:rsid w:val="0058088B"/>
    <w:rsid w:val="00582236"/>
    <w:rsid w:val="0058433D"/>
    <w:rsid w:val="00584D32"/>
    <w:rsid w:val="00584E4D"/>
    <w:rsid w:val="0058760E"/>
    <w:rsid w:val="005933F0"/>
    <w:rsid w:val="005B1CD3"/>
    <w:rsid w:val="005B4F64"/>
    <w:rsid w:val="005B60D5"/>
    <w:rsid w:val="005C05F5"/>
    <w:rsid w:val="005C0E90"/>
    <w:rsid w:val="005C212E"/>
    <w:rsid w:val="005C4127"/>
    <w:rsid w:val="005D1E86"/>
    <w:rsid w:val="005D261A"/>
    <w:rsid w:val="005D46AB"/>
    <w:rsid w:val="005D64EA"/>
    <w:rsid w:val="005E483E"/>
    <w:rsid w:val="005E6BA6"/>
    <w:rsid w:val="005F6873"/>
    <w:rsid w:val="00601179"/>
    <w:rsid w:val="006019C3"/>
    <w:rsid w:val="00601CDC"/>
    <w:rsid w:val="00605B7B"/>
    <w:rsid w:val="00611C53"/>
    <w:rsid w:val="00622F00"/>
    <w:rsid w:val="006261ED"/>
    <w:rsid w:val="006319D2"/>
    <w:rsid w:val="0063215A"/>
    <w:rsid w:val="00635DEC"/>
    <w:rsid w:val="00641BC7"/>
    <w:rsid w:val="00643105"/>
    <w:rsid w:val="006479A2"/>
    <w:rsid w:val="00655506"/>
    <w:rsid w:val="00655C13"/>
    <w:rsid w:val="0066779E"/>
    <w:rsid w:val="006716E3"/>
    <w:rsid w:val="00671F60"/>
    <w:rsid w:val="00672C23"/>
    <w:rsid w:val="006743FE"/>
    <w:rsid w:val="00676F24"/>
    <w:rsid w:val="0069598B"/>
    <w:rsid w:val="00695D8A"/>
    <w:rsid w:val="00696B51"/>
    <w:rsid w:val="006A4011"/>
    <w:rsid w:val="006A459E"/>
    <w:rsid w:val="006A4DA8"/>
    <w:rsid w:val="006B59D3"/>
    <w:rsid w:val="006B6B6B"/>
    <w:rsid w:val="006B7F92"/>
    <w:rsid w:val="006C0867"/>
    <w:rsid w:val="006D6AA0"/>
    <w:rsid w:val="006E0470"/>
    <w:rsid w:val="006E20FD"/>
    <w:rsid w:val="006E328A"/>
    <w:rsid w:val="006E45AC"/>
    <w:rsid w:val="006E6573"/>
    <w:rsid w:val="006F2F79"/>
    <w:rsid w:val="006F4D93"/>
    <w:rsid w:val="006F708B"/>
    <w:rsid w:val="007007F3"/>
    <w:rsid w:val="007014EB"/>
    <w:rsid w:val="0070706A"/>
    <w:rsid w:val="007152BD"/>
    <w:rsid w:val="00715B86"/>
    <w:rsid w:val="00717336"/>
    <w:rsid w:val="00720016"/>
    <w:rsid w:val="0073226F"/>
    <w:rsid w:val="00732853"/>
    <w:rsid w:val="007377E7"/>
    <w:rsid w:val="00745403"/>
    <w:rsid w:val="0074696E"/>
    <w:rsid w:val="007514A9"/>
    <w:rsid w:val="00757E5E"/>
    <w:rsid w:val="007606E5"/>
    <w:rsid w:val="0076126E"/>
    <w:rsid w:val="0077072C"/>
    <w:rsid w:val="007710DC"/>
    <w:rsid w:val="00771279"/>
    <w:rsid w:val="0077430C"/>
    <w:rsid w:val="0077452E"/>
    <w:rsid w:val="007746D1"/>
    <w:rsid w:val="00774C9E"/>
    <w:rsid w:val="007757AD"/>
    <w:rsid w:val="00777C71"/>
    <w:rsid w:val="00777C76"/>
    <w:rsid w:val="007807CB"/>
    <w:rsid w:val="00784738"/>
    <w:rsid w:val="007875A3"/>
    <w:rsid w:val="00790988"/>
    <w:rsid w:val="0079107A"/>
    <w:rsid w:val="007962FF"/>
    <w:rsid w:val="007968C1"/>
    <w:rsid w:val="007A5566"/>
    <w:rsid w:val="007A752A"/>
    <w:rsid w:val="007B0964"/>
    <w:rsid w:val="007B0B50"/>
    <w:rsid w:val="007B14A2"/>
    <w:rsid w:val="007B2042"/>
    <w:rsid w:val="007B3206"/>
    <w:rsid w:val="007B3EE7"/>
    <w:rsid w:val="007C4B71"/>
    <w:rsid w:val="007C655C"/>
    <w:rsid w:val="007D1D2B"/>
    <w:rsid w:val="007D3AEF"/>
    <w:rsid w:val="007D71D2"/>
    <w:rsid w:val="007E3C75"/>
    <w:rsid w:val="007E77F5"/>
    <w:rsid w:val="007F0C6B"/>
    <w:rsid w:val="007F4940"/>
    <w:rsid w:val="00804AA7"/>
    <w:rsid w:val="00810B40"/>
    <w:rsid w:val="00810DFC"/>
    <w:rsid w:val="00813B10"/>
    <w:rsid w:val="008311A5"/>
    <w:rsid w:val="008330E5"/>
    <w:rsid w:val="00837B01"/>
    <w:rsid w:val="00837FAB"/>
    <w:rsid w:val="00842412"/>
    <w:rsid w:val="008460AE"/>
    <w:rsid w:val="00847933"/>
    <w:rsid w:val="00853359"/>
    <w:rsid w:val="0086591B"/>
    <w:rsid w:val="00872D40"/>
    <w:rsid w:val="00873A50"/>
    <w:rsid w:val="00882BF9"/>
    <w:rsid w:val="00887AC1"/>
    <w:rsid w:val="00891058"/>
    <w:rsid w:val="00892501"/>
    <w:rsid w:val="008925DA"/>
    <w:rsid w:val="00896828"/>
    <w:rsid w:val="008A0BC6"/>
    <w:rsid w:val="008A45BE"/>
    <w:rsid w:val="008A5F61"/>
    <w:rsid w:val="008A7D63"/>
    <w:rsid w:val="008B3D8A"/>
    <w:rsid w:val="008B4956"/>
    <w:rsid w:val="008B750F"/>
    <w:rsid w:val="008C7189"/>
    <w:rsid w:val="008D44C0"/>
    <w:rsid w:val="008E3144"/>
    <w:rsid w:val="008E3A94"/>
    <w:rsid w:val="008F1BCF"/>
    <w:rsid w:val="008F68A1"/>
    <w:rsid w:val="00905F89"/>
    <w:rsid w:val="0090771A"/>
    <w:rsid w:val="00911EA7"/>
    <w:rsid w:val="00911EC6"/>
    <w:rsid w:val="00926085"/>
    <w:rsid w:val="00927C01"/>
    <w:rsid w:val="00930800"/>
    <w:rsid w:val="00933FB0"/>
    <w:rsid w:val="00944344"/>
    <w:rsid w:val="00947363"/>
    <w:rsid w:val="009624B1"/>
    <w:rsid w:val="00962C49"/>
    <w:rsid w:val="0096405D"/>
    <w:rsid w:val="009668E4"/>
    <w:rsid w:val="00970645"/>
    <w:rsid w:val="00971246"/>
    <w:rsid w:val="009722B7"/>
    <w:rsid w:val="009809A5"/>
    <w:rsid w:val="009824F2"/>
    <w:rsid w:val="00983FFA"/>
    <w:rsid w:val="009966F3"/>
    <w:rsid w:val="009A04DA"/>
    <w:rsid w:val="009A1917"/>
    <w:rsid w:val="009A3ABA"/>
    <w:rsid w:val="009A3BBF"/>
    <w:rsid w:val="009C1FF8"/>
    <w:rsid w:val="009C26A0"/>
    <w:rsid w:val="009C3292"/>
    <w:rsid w:val="009C3299"/>
    <w:rsid w:val="009C792C"/>
    <w:rsid w:val="009D0CA1"/>
    <w:rsid w:val="009D52FA"/>
    <w:rsid w:val="009D5A5D"/>
    <w:rsid w:val="009D75FF"/>
    <w:rsid w:val="009E5836"/>
    <w:rsid w:val="009E7533"/>
    <w:rsid w:val="009F0E3C"/>
    <w:rsid w:val="009F6F27"/>
    <w:rsid w:val="009F7F69"/>
    <w:rsid w:val="00A051CF"/>
    <w:rsid w:val="00A12003"/>
    <w:rsid w:val="00A217EA"/>
    <w:rsid w:val="00A24C1E"/>
    <w:rsid w:val="00A34DF9"/>
    <w:rsid w:val="00A362AD"/>
    <w:rsid w:val="00A366F3"/>
    <w:rsid w:val="00A43754"/>
    <w:rsid w:val="00A469F3"/>
    <w:rsid w:val="00A470C1"/>
    <w:rsid w:val="00A479A1"/>
    <w:rsid w:val="00A56D9B"/>
    <w:rsid w:val="00A62EFD"/>
    <w:rsid w:val="00A73423"/>
    <w:rsid w:val="00A778BD"/>
    <w:rsid w:val="00A8523A"/>
    <w:rsid w:val="00A90795"/>
    <w:rsid w:val="00A930F4"/>
    <w:rsid w:val="00A9496A"/>
    <w:rsid w:val="00A967B5"/>
    <w:rsid w:val="00A97550"/>
    <w:rsid w:val="00AA25B5"/>
    <w:rsid w:val="00AA705D"/>
    <w:rsid w:val="00AB1242"/>
    <w:rsid w:val="00AB52CC"/>
    <w:rsid w:val="00AB65D5"/>
    <w:rsid w:val="00AC4026"/>
    <w:rsid w:val="00AC47AD"/>
    <w:rsid w:val="00AC6CA0"/>
    <w:rsid w:val="00AD1A2C"/>
    <w:rsid w:val="00AD49E1"/>
    <w:rsid w:val="00AD5101"/>
    <w:rsid w:val="00AD5D2C"/>
    <w:rsid w:val="00AD70A7"/>
    <w:rsid w:val="00AF0675"/>
    <w:rsid w:val="00AF0D6B"/>
    <w:rsid w:val="00AF0D91"/>
    <w:rsid w:val="00B00266"/>
    <w:rsid w:val="00B01F49"/>
    <w:rsid w:val="00B03542"/>
    <w:rsid w:val="00B1095F"/>
    <w:rsid w:val="00B11175"/>
    <w:rsid w:val="00B1238F"/>
    <w:rsid w:val="00B14355"/>
    <w:rsid w:val="00B231DE"/>
    <w:rsid w:val="00B2441A"/>
    <w:rsid w:val="00B25E77"/>
    <w:rsid w:val="00B26D5A"/>
    <w:rsid w:val="00B365E4"/>
    <w:rsid w:val="00B40207"/>
    <w:rsid w:val="00B41D6C"/>
    <w:rsid w:val="00B426DB"/>
    <w:rsid w:val="00B440F4"/>
    <w:rsid w:val="00B5001A"/>
    <w:rsid w:val="00B5192E"/>
    <w:rsid w:val="00B533D4"/>
    <w:rsid w:val="00B55611"/>
    <w:rsid w:val="00B60C0A"/>
    <w:rsid w:val="00B6112A"/>
    <w:rsid w:val="00B62E8B"/>
    <w:rsid w:val="00B700FC"/>
    <w:rsid w:val="00B70305"/>
    <w:rsid w:val="00B74598"/>
    <w:rsid w:val="00B814BD"/>
    <w:rsid w:val="00B91679"/>
    <w:rsid w:val="00B94A53"/>
    <w:rsid w:val="00BB18F8"/>
    <w:rsid w:val="00BB2E3D"/>
    <w:rsid w:val="00BB33D6"/>
    <w:rsid w:val="00BB4A53"/>
    <w:rsid w:val="00BB5EBA"/>
    <w:rsid w:val="00BB6702"/>
    <w:rsid w:val="00BC0796"/>
    <w:rsid w:val="00BC2465"/>
    <w:rsid w:val="00BD2713"/>
    <w:rsid w:val="00BD5EC4"/>
    <w:rsid w:val="00BD6412"/>
    <w:rsid w:val="00BD6CA7"/>
    <w:rsid w:val="00BE2C9B"/>
    <w:rsid w:val="00BE5CD6"/>
    <w:rsid w:val="00BF08B4"/>
    <w:rsid w:val="00BF3E86"/>
    <w:rsid w:val="00C00FD8"/>
    <w:rsid w:val="00C03223"/>
    <w:rsid w:val="00C077E9"/>
    <w:rsid w:val="00C102ED"/>
    <w:rsid w:val="00C11306"/>
    <w:rsid w:val="00C118F0"/>
    <w:rsid w:val="00C12551"/>
    <w:rsid w:val="00C255E8"/>
    <w:rsid w:val="00C26212"/>
    <w:rsid w:val="00C26257"/>
    <w:rsid w:val="00C33797"/>
    <w:rsid w:val="00C33F15"/>
    <w:rsid w:val="00C40444"/>
    <w:rsid w:val="00C4714F"/>
    <w:rsid w:val="00C47DE2"/>
    <w:rsid w:val="00C6313F"/>
    <w:rsid w:val="00C6480D"/>
    <w:rsid w:val="00C66092"/>
    <w:rsid w:val="00C72BB8"/>
    <w:rsid w:val="00C7388B"/>
    <w:rsid w:val="00C83C94"/>
    <w:rsid w:val="00C91243"/>
    <w:rsid w:val="00C91530"/>
    <w:rsid w:val="00C91C3B"/>
    <w:rsid w:val="00C92398"/>
    <w:rsid w:val="00C951DF"/>
    <w:rsid w:val="00C95F40"/>
    <w:rsid w:val="00CA0314"/>
    <w:rsid w:val="00CA4263"/>
    <w:rsid w:val="00CA4297"/>
    <w:rsid w:val="00CA4BD0"/>
    <w:rsid w:val="00CA5389"/>
    <w:rsid w:val="00CA7312"/>
    <w:rsid w:val="00CB4DDD"/>
    <w:rsid w:val="00CC22D6"/>
    <w:rsid w:val="00CC30C1"/>
    <w:rsid w:val="00CC4BB3"/>
    <w:rsid w:val="00CC69A0"/>
    <w:rsid w:val="00CD3CAF"/>
    <w:rsid w:val="00CD3DDE"/>
    <w:rsid w:val="00CD4118"/>
    <w:rsid w:val="00CD4AFD"/>
    <w:rsid w:val="00CE2649"/>
    <w:rsid w:val="00CF49B5"/>
    <w:rsid w:val="00CF5AF5"/>
    <w:rsid w:val="00D00EBE"/>
    <w:rsid w:val="00D048E2"/>
    <w:rsid w:val="00D07E69"/>
    <w:rsid w:val="00D13569"/>
    <w:rsid w:val="00D135B0"/>
    <w:rsid w:val="00D15C22"/>
    <w:rsid w:val="00D202F7"/>
    <w:rsid w:val="00D21700"/>
    <w:rsid w:val="00D25C0B"/>
    <w:rsid w:val="00D308BD"/>
    <w:rsid w:val="00D31E4B"/>
    <w:rsid w:val="00D341FD"/>
    <w:rsid w:val="00D37190"/>
    <w:rsid w:val="00D43F82"/>
    <w:rsid w:val="00D50137"/>
    <w:rsid w:val="00D56736"/>
    <w:rsid w:val="00D63A03"/>
    <w:rsid w:val="00D65776"/>
    <w:rsid w:val="00D701E2"/>
    <w:rsid w:val="00D71755"/>
    <w:rsid w:val="00D72203"/>
    <w:rsid w:val="00D73626"/>
    <w:rsid w:val="00D75C0D"/>
    <w:rsid w:val="00D763CF"/>
    <w:rsid w:val="00D83C49"/>
    <w:rsid w:val="00D85A6D"/>
    <w:rsid w:val="00D93DDB"/>
    <w:rsid w:val="00D94C88"/>
    <w:rsid w:val="00D955EB"/>
    <w:rsid w:val="00D97110"/>
    <w:rsid w:val="00DA3D84"/>
    <w:rsid w:val="00DB259E"/>
    <w:rsid w:val="00DB38DF"/>
    <w:rsid w:val="00DB4DC2"/>
    <w:rsid w:val="00DB6DB5"/>
    <w:rsid w:val="00DC29EC"/>
    <w:rsid w:val="00DC2F68"/>
    <w:rsid w:val="00DC3915"/>
    <w:rsid w:val="00DD04A9"/>
    <w:rsid w:val="00DD062B"/>
    <w:rsid w:val="00DD2FCB"/>
    <w:rsid w:val="00DE3690"/>
    <w:rsid w:val="00DE608B"/>
    <w:rsid w:val="00DF259C"/>
    <w:rsid w:val="00E00751"/>
    <w:rsid w:val="00E10D05"/>
    <w:rsid w:val="00E12427"/>
    <w:rsid w:val="00E147AF"/>
    <w:rsid w:val="00E2157D"/>
    <w:rsid w:val="00E22F25"/>
    <w:rsid w:val="00E2343E"/>
    <w:rsid w:val="00E23885"/>
    <w:rsid w:val="00E26706"/>
    <w:rsid w:val="00E30084"/>
    <w:rsid w:val="00E30791"/>
    <w:rsid w:val="00E32CA7"/>
    <w:rsid w:val="00E35C00"/>
    <w:rsid w:val="00E36D47"/>
    <w:rsid w:val="00E44BC6"/>
    <w:rsid w:val="00E500C6"/>
    <w:rsid w:val="00E51B12"/>
    <w:rsid w:val="00E52E41"/>
    <w:rsid w:val="00E556BC"/>
    <w:rsid w:val="00E6343C"/>
    <w:rsid w:val="00E65520"/>
    <w:rsid w:val="00E66367"/>
    <w:rsid w:val="00E66686"/>
    <w:rsid w:val="00E74209"/>
    <w:rsid w:val="00E77952"/>
    <w:rsid w:val="00E77974"/>
    <w:rsid w:val="00E86B8C"/>
    <w:rsid w:val="00E90CC4"/>
    <w:rsid w:val="00E95E31"/>
    <w:rsid w:val="00EB07B5"/>
    <w:rsid w:val="00EB1FDD"/>
    <w:rsid w:val="00EB3870"/>
    <w:rsid w:val="00EB717A"/>
    <w:rsid w:val="00EC01D4"/>
    <w:rsid w:val="00ED04C9"/>
    <w:rsid w:val="00ED3B38"/>
    <w:rsid w:val="00EE01FF"/>
    <w:rsid w:val="00EE221B"/>
    <w:rsid w:val="00EE2C24"/>
    <w:rsid w:val="00EE4BB4"/>
    <w:rsid w:val="00EE62AE"/>
    <w:rsid w:val="00F001A3"/>
    <w:rsid w:val="00F01CBB"/>
    <w:rsid w:val="00F02554"/>
    <w:rsid w:val="00F02E19"/>
    <w:rsid w:val="00F033D7"/>
    <w:rsid w:val="00F04995"/>
    <w:rsid w:val="00F06E47"/>
    <w:rsid w:val="00F246A7"/>
    <w:rsid w:val="00F37BB7"/>
    <w:rsid w:val="00F4006E"/>
    <w:rsid w:val="00F518C9"/>
    <w:rsid w:val="00F52055"/>
    <w:rsid w:val="00F57A9B"/>
    <w:rsid w:val="00F64454"/>
    <w:rsid w:val="00F64BC8"/>
    <w:rsid w:val="00F70A69"/>
    <w:rsid w:val="00F74A5D"/>
    <w:rsid w:val="00F77081"/>
    <w:rsid w:val="00F7728E"/>
    <w:rsid w:val="00F77EEA"/>
    <w:rsid w:val="00F87264"/>
    <w:rsid w:val="00F914F6"/>
    <w:rsid w:val="00F93299"/>
    <w:rsid w:val="00F933F2"/>
    <w:rsid w:val="00F9576F"/>
    <w:rsid w:val="00FA2677"/>
    <w:rsid w:val="00FA2691"/>
    <w:rsid w:val="00FB4D83"/>
    <w:rsid w:val="00FC0BB3"/>
    <w:rsid w:val="00FC2F4D"/>
    <w:rsid w:val="00FC34D4"/>
    <w:rsid w:val="00FC4F03"/>
    <w:rsid w:val="00FD0E90"/>
    <w:rsid w:val="00FD1CFE"/>
    <w:rsid w:val="00FD20F4"/>
    <w:rsid w:val="00FD2ED8"/>
    <w:rsid w:val="00FD3EC1"/>
    <w:rsid w:val="00FD770D"/>
    <w:rsid w:val="00FE0A6D"/>
    <w:rsid w:val="00FE6251"/>
    <w:rsid w:val="00FE6579"/>
    <w:rsid w:val="00FF0D16"/>
    <w:rsid w:val="00FF0FCA"/>
    <w:rsid w:val="00FF61B1"/>
    <w:rsid w:val="029717EB"/>
    <w:rsid w:val="02B73508"/>
    <w:rsid w:val="05B40E4C"/>
    <w:rsid w:val="065C4972"/>
    <w:rsid w:val="068F6888"/>
    <w:rsid w:val="0C084712"/>
    <w:rsid w:val="0C5051A8"/>
    <w:rsid w:val="0D456AD9"/>
    <w:rsid w:val="0D914E2E"/>
    <w:rsid w:val="0E224890"/>
    <w:rsid w:val="0F6E14F4"/>
    <w:rsid w:val="0F853F26"/>
    <w:rsid w:val="10065F8A"/>
    <w:rsid w:val="10B10A0F"/>
    <w:rsid w:val="12482065"/>
    <w:rsid w:val="12E2520E"/>
    <w:rsid w:val="136A31A8"/>
    <w:rsid w:val="13F07B23"/>
    <w:rsid w:val="14FF2EA3"/>
    <w:rsid w:val="15196BE8"/>
    <w:rsid w:val="15A851DA"/>
    <w:rsid w:val="164D1BE9"/>
    <w:rsid w:val="16821613"/>
    <w:rsid w:val="16A43CB3"/>
    <w:rsid w:val="179F3494"/>
    <w:rsid w:val="1868729B"/>
    <w:rsid w:val="18F02C63"/>
    <w:rsid w:val="19E10810"/>
    <w:rsid w:val="19F84859"/>
    <w:rsid w:val="1A0617E9"/>
    <w:rsid w:val="1A375C60"/>
    <w:rsid w:val="1BE74A39"/>
    <w:rsid w:val="1CCC3155"/>
    <w:rsid w:val="1D0E55EC"/>
    <w:rsid w:val="1EC51E6E"/>
    <w:rsid w:val="1EDC25EC"/>
    <w:rsid w:val="1F260D1F"/>
    <w:rsid w:val="1FD15D58"/>
    <w:rsid w:val="1FDD16B6"/>
    <w:rsid w:val="20A16D8E"/>
    <w:rsid w:val="2206450D"/>
    <w:rsid w:val="22D21C89"/>
    <w:rsid w:val="22E03854"/>
    <w:rsid w:val="23072680"/>
    <w:rsid w:val="249A6A28"/>
    <w:rsid w:val="24F46B28"/>
    <w:rsid w:val="259D43CB"/>
    <w:rsid w:val="271B4D28"/>
    <w:rsid w:val="275614B1"/>
    <w:rsid w:val="29940ACC"/>
    <w:rsid w:val="2AE223B2"/>
    <w:rsid w:val="2B1C729A"/>
    <w:rsid w:val="2C6E57BE"/>
    <w:rsid w:val="2D7C274F"/>
    <w:rsid w:val="309928E9"/>
    <w:rsid w:val="313918CD"/>
    <w:rsid w:val="34616ADA"/>
    <w:rsid w:val="36E94C0C"/>
    <w:rsid w:val="37AE58D5"/>
    <w:rsid w:val="37D979B0"/>
    <w:rsid w:val="380F5B77"/>
    <w:rsid w:val="38636FF1"/>
    <w:rsid w:val="38FB701F"/>
    <w:rsid w:val="39BA30F0"/>
    <w:rsid w:val="3A1D4036"/>
    <w:rsid w:val="3A547FCA"/>
    <w:rsid w:val="3B84713F"/>
    <w:rsid w:val="3CF03E7F"/>
    <w:rsid w:val="437603A8"/>
    <w:rsid w:val="448D5A01"/>
    <w:rsid w:val="453A0567"/>
    <w:rsid w:val="461049DA"/>
    <w:rsid w:val="47AC78D4"/>
    <w:rsid w:val="49443FDE"/>
    <w:rsid w:val="49FD14C7"/>
    <w:rsid w:val="4C057C11"/>
    <w:rsid w:val="4D0A1A8A"/>
    <w:rsid w:val="4D5C4748"/>
    <w:rsid w:val="4F0634AF"/>
    <w:rsid w:val="4F78449B"/>
    <w:rsid w:val="51406BD7"/>
    <w:rsid w:val="517D38CB"/>
    <w:rsid w:val="52407F16"/>
    <w:rsid w:val="533C3604"/>
    <w:rsid w:val="54161C78"/>
    <w:rsid w:val="54C06369"/>
    <w:rsid w:val="5752540A"/>
    <w:rsid w:val="57611428"/>
    <w:rsid w:val="577601A8"/>
    <w:rsid w:val="58FF6E67"/>
    <w:rsid w:val="596600E4"/>
    <w:rsid w:val="5D2210E3"/>
    <w:rsid w:val="5D40105E"/>
    <w:rsid w:val="5D8C188C"/>
    <w:rsid w:val="5E814CA6"/>
    <w:rsid w:val="5EA3419C"/>
    <w:rsid w:val="61FE6983"/>
    <w:rsid w:val="62DD289F"/>
    <w:rsid w:val="630657A6"/>
    <w:rsid w:val="630C00E1"/>
    <w:rsid w:val="644B2341"/>
    <w:rsid w:val="64980847"/>
    <w:rsid w:val="64C6130A"/>
    <w:rsid w:val="6507004E"/>
    <w:rsid w:val="659F1F9A"/>
    <w:rsid w:val="65AC249E"/>
    <w:rsid w:val="65E7772A"/>
    <w:rsid w:val="66CB7646"/>
    <w:rsid w:val="68347950"/>
    <w:rsid w:val="693F2105"/>
    <w:rsid w:val="6BF45BBC"/>
    <w:rsid w:val="6CB66F8C"/>
    <w:rsid w:val="6CB90E7A"/>
    <w:rsid w:val="6DB36E32"/>
    <w:rsid w:val="6E8E67B9"/>
    <w:rsid w:val="6EE71178"/>
    <w:rsid w:val="6FAB2DD8"/>
    <w:rsid w:val="707B1A53"/>
    <w:rsid w:val="70B5108B"/>
    <w:rsid w:val="70D53F3C"/>
    <w:rsid w:val="720B4401"/>
    <w:rsid w:val="734C510D"/>
    <w:rsid w:val="74B63EA0"/>
    <w:rsid w:val="75405CAD"/>
    <w:rsid w:val="76C8689C"/>
    <w:rsid w:val="76E52766"/>
    <w:rsid w:val="77132F1E"/>
    <w:rsid w:val="77BE7BF8"/>
    <w:rsid w:val="77DF68D5"/>
    <w:rsid w:val="7A861580"/>
    <w:rsid w:val="7B2501A9"/>
    <w:rsid w:val="7D3B5ABF"/>
    <w:rsid w:val="7D6615A8"/>
    <w:rsid w:val="7F73C91F"/>
    <w:rsid w:val="DEF62EBA"/>
    <w:rsid w:val="FFF336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2"/>
    <w:unhideWhenUsed/>
    <w:qFormat/>
    <w:uiPriority w:val="99"/>
    <w:pPr>
      <w:jc w:val="left"/>
    </w:pPr>
  </w:style>
  <w:style w:type="paragraph" w:styleId="3">
    <w:name w:val="Date"/>
    <w:basedOn w:val="1"/>
    <w:next w:val="1"/>
    <w:link w:val="17"/>
    <w:unhideWhenUsed/>
    <w:qFormat/>
    <w:uiPriority w:val="99"/>
    <w:pPr>
      <w:ind w:left="100" w:leftChars="2500"/>
    </w:pPr>
  </w:style>
  <w:style w:type="paragraph" w:styleId="4">
    <w:name w:val="Balloon Text"/>
    <w:basedOn w:val="1"/>
    <w:link w:val="21"/>
    <w:unhideWhenUsed/>
    <w:qFormat/>
    <w:uiPriority w:val="99"/>
    <w:rPr>
      <w:sz w:val="18"/>
      <w:szCs w:val="18"/>
    </w:rPr>
  </w:style>
  <w:style w:type="paragraph" w:styleId="5">
    <w:name w:val="footer"/>
    <w:basedOn w:val="1"/>
    <w:link w:val="16"/>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6">
    <w:name w:val="header"/>
    <w:basedOn w:val="1"/>
    <w:link w:val="18"/>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Subtitle"/>
    <w:basedOn w:val="1"/>
    <w:next w:val="1"/>
    <w:link w:val="19"/>
    <w:qFormat/>
    <w:uiPriority w:val="11"/>
    <w:pPr>
      <w:widowControl/>
      <w:spacing w:before="240" w:after="60" w:line="312" w:lineRule="auto"/>
      <w:ind w:firstLine="200" w:firstLineChars="200"/>
      <w:jc w:val="center"/>
      <w:outlineLvl w:val="1"/>
    </w:pPr>
    <w:rPr>
      <w:rFonts w:eastAsia="宋体" w:asciiTheme="majorHAnsi" w:hAnsiTheme="majorHAnsi" w:cstheme="majorBidi"/>
      <w:b/>
      <w:bCs/>
      <w:kern w:val="28"/>
      <w:sz w:val="32"/>
      <w:szCs w:val="32"/>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9">
    <w:name w:val="annotation subject"/>
    <w:basedOn w:val="2"/>
    <w:next w:val="2"/>
    <w:link w:val="23"/>
    <w:unhideWhenUsed/>
    <w:qFormat/>
    <w:uiPriority w:val="99"/>
    <w:rPr>
      <w:b/>
      <w:bCs/>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character" w:styleId="14">
    <w:name w:val="page number"/>
    <w:basedOn w:val="12"/>
    <w:qFormat/>
    <w:uiPriority w:val="0"/>
  </w:style>
  <w:style w:type="character" w:styleId="15">
    <w:name w:val="annotation reference"/>
    <w:basedOn w:val="12"/>
    <w:unhideWhenUsed/>
    <w:qFormat/>
    <w:uiPriority w:val="99"/>
    <w:rPr>
      <w:sz w:val="21"/>
      <w:szCs w:val="21"/>
    </w:rPr>
  </w:style>
  <w:style w:type="character" w:customStyle="1" w:styleId="16">
    <w:name w:val="页脚 字符"/>
    <w:basedOn w:val="12"/>
    <w:link w:val="5"/>
    <w:qFormat/>
    <w:uiPriority w:val="99"/>
    <w:rPr>
      <w:rFonts w:ascii="Times New Roman" w:hAnsi="Times New Roman" w:eastAsia="宋体" w:cs="Times New Roman"/>
      <w:sz w:val="18"/>
      <w:szCs w:val="18"/>
    </w:rPr>
  </w:style>
  <w:style w:type="character" w:customStyle="1" w:styleId="17">
    <w:name w:val="日期 字符"/>
    <w:basedOn w:val="12"/>
    <w:link w:val="3"/>
    <w:semiHidden/>
    <w:qFormat/>
    <w:uiPriority w:val="99"/>
  </w:style>
  <w:style w:type="character" w:customStyle="1" w:styleId="18">
    <w:name w:val="页眉 字符"/>
    <w:basedOn w:val="12"/>
    <w:link w:val="6"/>
    <w:qFormat/>
    <w:uiPriority w:val="0"/>
    <w:rPr>
      <w:sz w:val="18"/>
      <w:szCs w:val="18"/>
    </w:rPr>
  </w:style>
  <w:style w:type="character" w:customStyle="1" w:styleId="19">
    <w:name w:val="副标题 字符"/>
    <w:basedOn w:val="12"/>
    <w:link w:val="7"/>
    <w:qFormat/>
    <w:uiPriority w:val="11"/>
    <w:rPr>
      <w:rFonts w:eastAsia="宋体" w:asciiTheme="majorHAnsi" w:hAnsiTheme="majorHAnsi" w:cstheme="majorBidi"/>
      <w:b/>
      <w:bCs/>
      <w:kern w:val="28"/>
      <w:sz w:val="32"/>
      <w:szCs w:val="32"/>
    </w:rPr>
  </w:style>
  <w:style w:type="paragraph" w:customStyle="1" w:styleId="20">
    <w:name w:val="列出段落1"/>
    <w:basedOn w:val="1"/>
    <w:qFormat/>
    <w:uiPriority w:val="34"/>
    <w:pPr>
      <w:ind w:firstLine="420" w:firstLineChars="200"/>
    </w:pPr>
  </w:style>
  <w:style w:type="character" w:customStyle="1" w:styleId="21">
    <w:name w:val="批注框文本 字符"/>
    <w:basedOn w:val="12"/>
    <w:link w:val="4"/>
    <w:semiHidden/>
    <w:qFormat/>
    <w:uiPriority w:val="99"/>
    <w:rPr>
      <w:sz w:val="18"/>
      <w:szCs w:val="18"/>
    </w:rPr>
  </w:style>
  <w:style w:type="character" w:customStyle="1" w:styleId="22">
    <w:name w:val="批注文字 字符"/>
    <w:basedOn w:val="12"/>
    <w:link w:val="2"/>
    <w:semiHidden/>
    <w:qFormat/>
    <w:uiPriority w:val="99"/>
    <w:rPr>
      <w:rFonts w:asciiTheme="minorHAnsi" w:hAnsiTheme="minorHAnsi" w:eastAsiaTheme="minorEastAsia" w:cstheme="minorBidi"/>
      <w:kern w:val="2"/>
      <w:sz w:val="21"/>
      <w:szCs w:val="22"/>
    </w:rPr>
  </w:style>
  <w:style w:type="character" w:customStyle="1" w:styleId="23">
    <w:name w:val="批注主题 字符"/>
    <w:basedOn w:val="22"/>
    <w:link w:val="9"/>
    <w:semiHidden/>
    <w:qFormat/>
    <w:uiPriority w:val="99"/>
    <w:rPr>
      <w:rFonts w:asciiTheme="minorHAnsi" w:hAnsiTheme="minorHAnsi" w:eastAsiaTheme="minorEastAsia" w:cstheme="minorBidi"/>
      <w:b/>
      <w:bCs/>
      <w:kern w:val="2"/>
      <w:sz w:val="21"/>
      <w:szCs w:val="22"/>
    </w:rPr>
  </w:style>
  <w:style w:type="paragraph" w:customStyle="1" w:styleId="24">
    <w:name w:val="列表段落1"/>
    <w:basedOn w:val="1"/>
    <w:qFormat/>
    <w:uiPriority w:val="99"/>
    <w:pPr>
      <w:ind w:firstLine="420" w:firstLineChars="200"/>
    </w:pPr>
  </w:style>
  <w:style w:type="paragraph" w:styleId="2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11</Pages>
  <Words>890</Words>
  <Characters>5074</Characters>
  <Lines>42</Lines>
  <Paragraphs>11</Paragraphs>
  <TotalTime>0</TotalTime>
  <ScaleCrop>false</ScaleCrop>
  <LinksUpToDate>false</LinksUpToDate>
  <CharactersWithSpaces>5953</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2020-04-23T10:48:00Z</dcterms:created>
  <dc:creator>Administrator</dc:creator>
  <cp:lastModifiedBy>李芳</cp:lastModifiedBy>
  <cp:lastPrinted>2021-05-20T00:55:10Z</cp:lastPrinted>
  <dcterms:modified xsi:type="dcterms:W3CDTF">2021-05-20T08:59:48Z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2F9D30B8257244308217422624CF07B2</vt:lpwstr>
  </property>
</Properties>
</file>