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宋体" w:eastAsia="方正小标宋简体" w:cs="宋体"/>
          <w:color w:val="auto"/>
          <w:kern w:val="0"/>
          <w:sz w:val="40"/>
          <w:szCs w:val="44"/>
        </w:rPr>
      </w:pPr>
      <w:r>
        <w:rPr>
          <w:rFonts w:hint="eastAsia" w:ascii="方正小标宋简体" w:hAnsi="宋体" w:eastAsia="方正小标宋简体" w:cs="宋体"/>
          <w:color w:val="auto"/>
          <w:kern w:val="0"/>
          <w:sz w:val="40"/>
          <w:szCs w:val="44"/>
        </w:rPr>
        <w:t>广东东软学院关于</w:t>
      </w:r>
      <w:r>
        <w:rPr>
          <w:rFonts w:hint="eastAsia" w:ascii="方正小标宋简体" w:hAnsi="宋体" w:eastAsia="方正小标宋简体" w:cs="宋体"/>
          <w:color w:val="auto"/>
          <w:kern w:val="0"/>
          <w:sz w:val="40"/>
          <w:szCs w:val="44"/>
          <w:lang w:val="en-US" w:eastAsia="zh-CN"/>
        </w:rPr>
        <w:t>制定（修订）</w:t>
      </w:r>
      <w:r>
        <w:rPr>
          <w:rFonts w:hint="eastAsia" w:ascii="方正小标宋简体" w:hAnsi="宋体" w:eastAsia="方正小标宋简体" w:cs="宋体"/>
          <w:color w:val="auto"/>
          <w:kern w:val="0"/>
          <w:sz w:val="40"/>
          <w:szCs w:val="44"/>
        </w:rPr>
        <w:t>202</w:t>
      </w:r>
      <w:r>
        <w:rPr>
          <w:rFonts w:hint="eastAsia" w:ascii="方正小标宋简体" w:hAnsi="宋体" w:eastAsia="方正小标宋简体" w:cs="宋体"/>
          <w:color w:val="auto"/>
          <w:kern w:val="0"/>
          <w:sz w:val="40"/>
          <w:szCs w:val="44"/>
          <w:lang w:val="en-US" w:eastAsia="zh-CN"/>
        </w:rPr>
        <w:t>1</w:t>
      </w:r>
      <w:r>
        <w:rPr>
          <w:rFonts w:hint="eastAsia" w:ascii="方正小标宋简体" w:hAnsi="宋体" w:eastAsia="方正小标宋简体" w:cs="宋体"/>
          <w:color w:val="auto"/>
          <w:kern w:val="0"/>
          <w:sz w:val="40"/>
          <w:szCs w:val="44"/>
        </w:rPr>
        <w:t>年度</w:t>
      </w:r>
    </w:p>
    <w:p>
      <w:pPr>
        <w:spacing w:line="720" w:lineRule="exact"/>
        <w:jc w:val="center"/>
        <w:rPr>
          <w:rFonts w:ascii="黑体" w:hAnsi="黑体" w:eastAsia="黑体"/>
          <w:color w:val="auto"/>
          <w:sz w:val="28"/>
          <w:szCs w:val="32"/>
        </w:rPr>
      </w:pPr>
      <w:r>
        <w:rPr>
          <w:rFonts w:hint="eastAsia" w:ascii="方正小标宋简体" w:hAnsi="宋体" w:eastAsia="方正小标宋简体" w:cs="宋体"/>
          <w:color w:val="auto"/>
          <w:kern w:val="0"/>
          <w:sz w:val="40"/>
          <w:szCs w:val="44"/>
        </w:rPr>
        <w:t>本科人才培养方案的指导意见</w:t>
      </w:r>
    </w:p>
    <w:p>
      <w:pPr>
        <w:spacing w:line="56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本科专业人才培养方案是高等学校落实党和国家关于高等教育人才培养总体要求，组织开展教学活动、安排教学任务的规范性</w:t>
      </w:r>
      <w:r>
        <w:rPr>
          <w:rFonts w:hint="eastAsia" w:ascii="仿宋" w:hAnsi="仿宋" w:eastAsia="仿宋"/>
          <w:color w:val="auto"/>
          <w:sz w:val="30"/>
          <w:szCs w:val="30"/>
          <w:highlight w:val="none"/>
        </w:rPr>
        <w:t>文件，是实施专业人才培养和开展质量评价的基本依据。我</w:t>
      </w:r>
      <w:r>
        <w:rPr>
          <w:rFonts w:hint="eastAsia" w:ascii="仿宋" w:hAnsi="仿宋" w:eastAsia="仿宋"/>
          <w:color w:val="auto"/>
          <w:sz w:val="30"/>
          <w:szCs w:val="30"/>
        </w:rPr>
        <w:t>校按照TOPCARES</w:t>
      </w:r>
      <w:r>
        <w:rPr>
          <w:rFonts w:hint="eastAsia" w:ascii="仿宋" w:hAnsi="仿宋" w:eastAsia="仿宋"/>
          <w:color w:val="auto"/>
          <w:sz w:val="30"/>
          <w:szCs w:val="30"/>
          <w:lang w:val="en-US" w:eastAsia="zh-CN"/>
        </w:rPr>
        <w:t>人才培养指标体系要求和《广东东软学院专业人才培养方案管理办法》</w:t>
      </w:r>
      <w:r>
        <w:rPr>
          <w:rFonts w:hint="eastAsia" w:ascii="仿宋" w:hAnsi="仿宋" w:eastAsia="仿宋"/>
          <w:color w:val="auto"/>
          <w:sz w:val="30"/>
          <w:szCs w:val="30"/>
        </w:rPr>
        <w:t>开展202</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级</w:t>
      </w:r>
      <w:r>
        <w:rPr>
          <w:rFonts w:hint="eastAsia" w:ascii="仿宋" w:hAnsi="仿宋" w:eastAsia="仿宋"/>
          <w:color w:val="auto"/>
          <w:sz w:val="30"/>
          <w:szCs w:val="30"/>
          <w:lang w:val="en-US" w:eastAsia="zh-CN"/>
        </w:rPr>
        <w:t>本科</w:t>
      </w:r>
      <w:r>
        <w:rPr>
          <w:rFonts w:hint="eastAsia" w:ascii="仿宋" w:hAnsi="仿宋" w:eastAsia="仿宋"/>
          <w:color w:val="auto"/>
          <w:sz w:val="30"/>
          <w:szCs w:val="30"/>
        </w:rPr>
        <w:t>人才培养方案的制定（修订）工作，现提出以下指导意见。</w:t>
      </w:r>
    </w:p>
    <w:p>
      <w:pPr>
        <w:pStyle w:val="25"/>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360" w:lineRule="auto"/>
        <w:ind w:left="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基本原则</w:t>
      </w:r>
    </w:p>
    <w:p>
      <w:pPr>
        <w:pStyle w:val="24"/>
        <w:adjustRightInd w:val="0"/>
        <w:snapToGrid w:val="0"/>
        <w:spacing w:line="360" w:lineRule="auto"/>
        <w:ind w:firstLine="633"/>
        <w:rPr>
          <w:rFonts w:ascii="楷体" w:hAnsi="楷体" w:eastAsia="楷体"/>
          <w:b/>
          <w:bCs/>
          <w:color w:val="auto"/>
          <w:w w:val="98"/>
          <w:sz w:val="32"/>
        </w:rPr>
      </w:pPr>
      <w:r>
        <w:rPr>
          <w:rFonts w:hint="eastAsia" w:ascii="楷体" w:hAnsi="楷体" w:eastAsia="楷体"/>
          <w:b/>
          <w:bCs/>
          <w:color w:val="auto"/>
          <w:w w:val="98"/>
          <w:sz w:val="32"/>
        </w:rPr>
        <w:t>（一）坚持立德树人，注重全面发展</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坚持以学生为中心，以成果为导向，科学制定专业人才培养目标和要求，合理规划学生的知识、能力和素质结构，打造“德、智、体、美、劳”全面发展、“知识、能力、素质”协调发展的应用型人才。重视思想道德品质、科学文化素养与健康人格教育，重视综合基础知识和专业应用知识的传授，重视专业实践能力和创新创业能力的培养。</w:t>
      </w:r>
      <w:r>
        <w:rPr>
          <w:rFonts w:hint="eastAsia" w:ascii="Times New Roman" w:hAnsi="Times New Roman" w:eastAsia="仿宋" w:cs="Times New Roman"/>
          <w:color w:val="auto"/>
          <w:sz w:val="32"/>
          <w:szCs w:val="32"/>
        </w:rPr>
        <w:t>加强通识教育课程建设，</w:t>
      </w:r>
      <w:r>
        <w:rPr>
          <w:rFonts w:hint="eastAsia" w:ascii="仿宋" w:hAnsi="仿宋" w:eastAsia="仿宋"/>
          <w:color w:val="auto"/>
          <w:sz w:val="30"/>
          <w:szCs w:val="30"/>
        </w:rPr>
        <w:t>强化课程思政</w:t>
      </w:r>
      <w:r>
        <w:rPr>
          <w:rFonts w:hint="eastAsia" w:ascii="仿宋" w:hAnsi="仿宋" w:eastAsia="仿宋"/>
          <w:color w:val="auto"/>
          <w:sz w:val="30"/>
          <w:szCs w:val="30"/>
          <w:lang w:val="en-US" w:eastAsia="zh-CN"/>
        </w:rPr>
        <w:t>改革</w:t>
      </w:r>
      <w:r>
        <w:rPr>
          <w:rFonts w:hint="eastAsia" w:ascii="仿宋" w:hAnsi="仿宋" w:eastAsia="仿宋"/>
          <w:color w:val="auto"/>
          <w:sz w:val="30"/>
          <w:szCs w:val="30"/>
        </w:rPr>
        <w:t>，所有任课教师应在传授知识和培养能力的同时，充分发掘运用课程蕴涵的思想政治教育和创新创业教育资源，</w:t>
      </w:r>
      <w:r>
        <w:rPr>
          <w:rFonts w:hint="eastAsia" w:ascii="Times New Roman" w:hAnsi="Times New Roman" w:eastAsia="仿宋" w:cs="Times New Roman"/>
          <w:color w:val="auto"/>
          <w:sz w:val="32"/>
          <w:szCs w:val="32"/>
        </w:rPr>
        <w:t>引导学生培养高尚道德情操和良好精神素养</w:t>
      </w:r>
      <w:r>
        <w:rPr>
          <w:rFonts w:hint="eastAsia" w:ascii="Times New Roman" w:hAnsi="Times New Roman" w:eastAsia="仿宋" w:cs="Times New Roman"/>
          <w:color w:val="auto"/>
          <w:sz w:val="32"/>
          <w:szCs w:val="32"/>
          <w:lang w:eastAsia="zh-CN"/>
        </w:rPr>
        <w:t>，</w:t>
      </w:r>
      <w:r>
        <w:rPr>
          <w:rFonts w:hint="eastAsia" w:ascii="仿宋" w:hAnsi="仿宋" w:eastAsia="仿宋"/>
          <w:color w:val="auto"/>
          <w:sz w:val="30"/>
          <w:szCs w:val="30"/>
        </w:rPr>
        <w:t>做大学生成长的指导者和引路人。</w:t>
      </w:r>
    </w:p>
    <w:p>
      <w:pPr>
        <w:pStyle w:val="24"/>
        <w:adjustRightInd w:val="0"/>
        <w:snapToGrid w:val="0"/>
        <w:spacing w:line="360" w:lineRule="auto"/>
        <w:ind w:firstLine="633"/>
        <w:rPr>
          <w:rFonts w:ascii="楷体" w:hAnsi="楷体" w:eastAsia="楷体"/>
          <w:b/>
          <w:bCs/>
          <w:color w:val="auto"/>
          <w:w w:val="98"/>
          <w:sz w:val="32"/>
        </w:rPr>
      </w:pPr>
      <w:r>
        <w:rPr>
          <w:rFonts w:hint="eastAsia" w:ascii="楷体" w:hAnsi="楷体" w:eastAsia="楷体"/>
          <w:b/>
          <w:bCs/>
          <w:color w:val="auto"/>
          <w:w w:val="98"/>
          <w:sz w:val="32"/>
        </w:rPr>
        <w:t>（二）明确培养目标，提炼能力指标</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各专业要围绕学校应用型大学的定位，依据学校的人才培养总体目标，开展广泛、深入、扎实的专业调研，参照相关专业国家质量标准、指导性规范、行业标准、岗位要求，结合本专业定位和人才培养特色，科学分析，认真梳理，</w:t>
      </w:r>
      <w:r>
        <w:rPr>
          <w:rFonts w:hint="eastAsia" w:ascii="仿宋" w:hAnsi="仿宋" w:eastAsia="仿宋"/>
          <w:color w:val="auto"/>
          <w:sz w:val="30"/>
          <w:szCs w:val="30"/>
          <w:lang w:val="en-US" w:eastAsia="zh-CN"/>
        </w:rPr>
        <w:t>充分论证并</w:t>
      </w:r>
      <w:r>
        <w:rPr>
          <w:rFonts w:hint="eastAsia" w:ascii="仿宋" w:hAnsi="仿宋" w:eastAsia="仿宋"/>
          <w:color w:val="auto"/>
          <w:sz w:val="30"/>
          <w:szCs w:val="30"/>
        </w:rPr>
        <w:t>明确专业人才培养目标</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有企业行业专家参与制定、修订</w:t>
      </w:r>
      <w:r>
        <w:rPr>
          <w:rFonts w:hint="eastAsia" w:ascii="仿宋" w:hAnsi="仿宋" w:eastAsia="仿宋"/>
          <w:color w:val="auto"/>
          <w:sz w:val="30"/>
          <w:szCs w:val="30"/>
        </w:rPr>
        <w:t>。经过对专业人才培养预期应掌握的知识、能力、素质进行明确的、具体化的分析，按照 TOPCATES能力指标体系框架，提炼出各专业的人才培养能力指标，形成从专业人才培养目标到具有专业特色的TOPCATES核心能力指标的映射。</w:t>
      </w:r>
    </w:p>
    <w:p>
      <w:pPr>
        <w:pStyle w:val="24"/>
        <w:adjustRightInd w:val="0"/>
        <w:snapToGrid w:val="0"/>
        <w:spacing w:line="360" w:lineRule="auto"/>
        <w:ind w:firstLine="633"/>
        <w:rPr>
          <w:rFonts w:ascii="楷体" w:hAnsi="楷体" w:eastAsia="楷体"/>
          <w:b/>
          <w:bCs/>
          <w:color w:val="auto"/>
          <w:w w:val="98"/>
          <w:sz w:val="32"/>
        </w:rPr>
      </w:pPr>
      <w:r>
        <w:rPr>
          <w:rFonts w:hint="eastAsia" w:ascii="楷体" w:hAnsi="楷体" w:eastAsia="楷体"/>
          <w:b/>
          <w:bCs/>
          <w:color w:val="auto"/>
          <w:w w:val="98"/>
          <w:sz w:val="32"/>
        </w:rPr>
        <w:t>（三）突出项目导向，构建一体化课程体系</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以项目为导向，依据专业培养目标，设计高度融合、高度关联的课程与项目，既注重学科知识的连续性，又注重项目能力的整合性，将专业思想、专业知识、专业技能、综合素质、职业能力等培养任务进行科学分解、融合渗入到课程与项目中去，建立从培养目标到课程体系的映射，从课程目标到各知识单元教学目标的映射，构建课程与项目相融合的一体化课程体系。在一体化课程体系设计中，每个专业应当有精心规划的逐级递进的各级项目。每门课程，特别是专业核心课程要强调三级项目的构建与实施，并以此为核心，做好单元组四级项目的设计。每个项目都要与课程、课程组密切关联，每门课程内容和相关的能力训练要融入到教学单元和项目中，教学单元之间、教学单元与项目之间产生知识性的联系和能力的整合，课程教学围绕能力与项目来设计、组织与实施。课程与项目安排采用一体化组织形式，统筹规划和安排课程体系以及项目体系，使知识传授、能力提升、素质培养和项目训练融为一体。</w:t>
      </w:r>
    </w:p>
    <w:p>
      <w:pPr>
        <w:pStyle w:val="24"/>
        <w:adjustRightInd w:val="0"/>
        <w:snapToGrid w:val="0"/>
        <w:spacing w:line="360" w:lineRule="auto"/>
        <w:ind w:firstLine="633"/>
        <w:rPr>
          <w:rFonts w:ascii="仿宋_GB2312" w:hAnsi="Times New Roman" w:eastAsia="仿宋_GB2312" w:cs="Times New Roman"/>
          <w:b/>
          <w:color w:val="auto"/>
          <w:w w:val="98"/>
          <w:kern w:val="0"/>
          <w:sz w:val="32"/>
          <w:szCs w:val="32"/>
        </w:rPr>
      </w:pPr>
      <w:r>
        <w:rPr>
          <w:rFonts w:hint="eastAsia" w:ascii="楷体" w:hAnsi="楷体" w:eastAsia="楷体"/>
          <w:b/>
          <w:bCs/>
          <w:color w:val="auto"/>
          <w:w w:val="98"/>
          <w:sz w:val="32"/>
        </w:rPr>
        <w:t>（四）加强产学合作，建设资源环境</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各专业要根据专业人才培养需要，深入开展产学合作，建设课内实践与集中实践相结合、课上实践与课外实践相结合、校内实践与校外实践相结合的实践教学体系，突出面向职业岗位所需的基本技能和专业实践能力培养。要推动产业学院建设，加强政、校、行、企合作，通过联合开设课程、联合指导学生、联合建设实践</w:t>
      </w:r>
      <w:r>
        <w:rPr>
          <w:rFonts w:hint="eastAsia" w:ascii="仿宋" w:hAnsi="仿宋" w:eastAsia="仿宋"/>
          <w:color w:val="auto"/>
          <w:sz w:val="30"/>
          <w:szCs w:val="30"/>
          <w:lang w:val="en-US" w:eastAsia="zh-CN"/>
        </w:rPr>
        <w:t>教学</w:t>
      </w:r>
      <w:r>
        <w:rPr>
          <w:rFonts w:hint="eastAsia" w:ascii="仿宋" w:hAnsi="仿宋" w:eastAsia="仿宋"/>
          <w:color w:val="auto"/>
          <w:sz w:val="30"/>
          <w:szCs w:val="30"/>
        </w:rPr>
        <w:t>基地等形式，充分利用校内外实践教学资源。要加强教学资源与环境建设，努力构建各专业相关行业的仿真、模拟、真实的教育教学环境和实践</w:t>
      </w:r>
      <w:r>
        <w:rPr>
          <w:rFonts w:hint="eastAsia" w:ascii="仿宋" w:hAnsi="仿宋" w:eastAsia="仿宋"/>
          <w:color w:val="auto"/>
          <w:sz w:val="30"/>
          <w:szCs w:val="30"/>
          <w:lang w:val="en-US" w:eastAsia="zh-CN"/>
        </w:rPr>
        <w:t>教学</w:t>
      </w:r>
      <w:r>
        <w:rPr>
          <w:rFonts w:hint="eastAsia" w:ascii="仿宋" w:hAnsi="仿宋" w:eastAsia="仿宋"/>
          <w:color w:val="auto"/>
          <w:sz w:val="30"/>
          <w:szCs w:val="30"/>
        </w:rPr>
        <w:t>基地，积极建设基于行业企业的项目库、案例库、试题库和系列教材，全面推进TOPCARES教育教学改革进课程、进项目、进教材。要加强创新创业课程建设，推动专创融合教育，在专业课程中激发学生的创新思维、创业意识，营造有利于学生创新创业的校园文化，培养学生的创新创业精神与能力。</w:t>
      </w:r>
    </w:p>
    <w:p>
      <w:pPr>
        <w:pStyle w:val="25"/>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360" w:lineRule="auto"/>
        <w:ind w:left="0" w:firstLine="640" w:firstLineChars="200"/>
        <w:textAlignment w:val="auto"/>
        <w:rPr>
          <w:rFonts w:hint="default" w:ascii="黑体" w:hAnsi="黑体" w:eastAsia="黑体"/>
          <w:color w:val="auto"/>
          <w:sz w:val="32"/>
          <w:szCs w:val="32"/>
          <w:lang w:val="en-US" w:eastAsia="zh-CN"/>
        </w:rPr>
      </w:pPr>
      <w:r>
        <w:rPr>
          <w:rFonts w:hint="eastAsia" w:ascii="黑体" w:hAnsi="黑体" w:eastAsia="黑体"/>
          <w:color w:val="auto"/>
          <w:sz w:val="32"/>
          <w:szCs w:val="32"/>
          <w:lang w:val="en-US" w:eastAsia="zh-CN"/>
        </w:rPr>
        <w:t>修订重点</w:t>
      </w:r>
    </w:p>
    <w:p>
      <w:pPr>
        <w:pStyle w:val="24"/>
        <w:adjustRightInd w:val="0"/>
        <w:snapToGrid w:val="0"/>
        <w:spacing w:line="360" w:lineRule="auto"/>
        <w:ind w:firstLine="600"/>
        <w:rPr>
          <w:rFonts w:hint="default" w:ascii="仿宋" w:hAnsi="仿宋" w:eastAsia="仿宋"/>
          <w:color w:val="auto"/>
          <w:sz w:val="30"/>
          <w:szCs w:val="30"/>
          <w:lang w:val="en-US" w:eastAsia="zh-CN"/>
        </w:rPr>
      </w:pPr>
      <w:r>
        <w:rPr>
          <w:rFonts w:hint="eastAsia" w:ascii="仿宋" w:hAnsi="仿宋" w:eastAsia="仿宋"/>
          <w:b w:val="0"/>
          <w:bCs w:val="0"/>
          <w:color w:val="auto"/>
          <w:sz w:val="30"/>
          <w:szCs w:val="30"/>
          <w:lang w:val="en-US" w:eastAsia="zh-CN"/>
        </w:rPr>
        <w:t>科学制定</w:t>
      </w:r>
      <w:r>
        <w:rPr>
          <w:rFonts w:hint="eastAsia" w:ascii="仿宋" w:hAnsi="仿宋" w:eastAsia="仿宋"/>
          <w:color w:val="auto"/>
          <w:sz w:val="30"/>
          <w:szCs w:val="30"/>
          <w:lang w:val="en-US" w:eastAsia="zh-CN"/>
        </w:rPr>
        <w:t>专业人才</w:t>
      </w:r>
      <w:r>
        <w:rPr>
          <w:rFonts w:hint="eastAsia" w:ascii="仿宋" w:hAnsi="仿宋" w:eastAsia="仿宋"/>
          <w:b w:val="0"/>
          <w:bCs w:val="0"/>
          <w:color w:val="auto"/>
          <w:sz w:val="30"/>
          <w:szCs w:val="30"/>
          <w:lang w:val="en-US" w:eastAsia="zh-CN"/>
        </w:rPr>
        <w:t>培养方案，</w:t>
      </w:r>
      <w:r>
        <w:rPr>
          <w:rFonts w:hint="eastAsia" w:ascii="仿宋" w:hAnsi="仿宋" w:eastAsia="仿宋"/>
          <w:color w:val="auto"/>
          <w:sz w:val="30"/>
          <w:szCs w:val="30"/>
          <w:lang w:val="en-US" w:eastAsia="zh-CN"/>
        </w:rPr>
        <w:t>方案制定（修订）过程须</w:t>
      </w:r>
      <w:r>
        <w:rPr>
          <w:rFonts w:hint="eastAsia" w:ascii="仿宋" w:hAnsi="仿宋" w:eastAsia="仿宋"/>
          <w:b w:val="0"/>
          <w:bCs w:val="0"/>
          <w:color w:val="auto"/>
          <w:sz w:val="30"/>
          <w:szCs w:val="30"/>
          <w:lang w:val="en-US" w:eastAsia="zh-CN"/>
        </w:rPr>
        <w:t>广泛调研、充分论证。</w:t>
      </w:r>
    </w:p>
    <w:p>
      <w:pPr>
        <w:pStyle w:val="24"/>
        <w:adjustRightInd w:val="0"/>
        <w:snapToGrid w:val="0"/>
        <w:spacing w:line="360" w:lineRule="auto"/>
        <w:ind w:firstLine="600"/>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2021年新增专业遵照国标，严格按照TOPCARES一体化的设计理念和方法，遵循学校的指导思想、基本原则、课程设置要求等。</w:t>
      </w:r>
    </w:p>
    <w:p>
      <w:pPr>
        <w:pStyle w:val="24"/>
        <w:adjustRightInd w:val="0"/>
        <w:snapToGrid w:val="0"/>
        <w:spacing w:line="360" w:lineRule="auto"/>
        <w:ind w:firstLine="600"/>
        <w:rPr>
          <w:rFonts w:hint="eastAsia" w:ascii="仿宋" w:hAnsi="仿宋" w:eastAsia="仿宋"/>
          <w:color w:val="auto"/>
          <w:sz w:val="30"/>
          <w:szCs w:val="30"/>
          <w:lang w:val="en-US" w:eastAsia="zh-CN"/>
        </w:rPr>
      </w:pPr>
      <w:r>
        <w:rPr>
          <w:rFonts w:hint="eastAsia" w:ascii="仿宋" w:hAnsi="仿宋" w:eastAsia="仿宋"/>
          <w:b w:val="0"/>
          <w:bCs w:val="0"/>
          <w:color w:val="auto"/>
          <w:sz w:val="30"/>
          <w:szCs w:val="30"/>
          <w:lang w:val="en-US" w:eastAsia="zh-CN"/>
        </w:rPr>
        <w:t>2020年已开设专业，在保持</w:t>
      </w:r>
      <w:r>
        <w:rPr>
          <w:rFonts w:hint="eastAsia" w:ascii="仿宋" w:hAnsi="仿宋" w:eastAsia="仿宋"/>
          <w:color w:val="auto"/>
          <w:sz w:val="30"/>
          <w:szCs w:val="30"/>
          <w:lang w:val="en-US" w:eastAsia="zh-CN"/>
        </w:rPr>
        <w:t>专业课程体系基本稳定的基础上进行2021级人才培养方案的</w:t>
      </w:r>
      <w:r>
        <w:rPr>
          <w:rFonts w:hint="eastAsia" w:ascii="仿宋" w:hAnsi="仿宋" w:eastAsia="仿宋"/>
          <w:b w:val="0"/>
          <w:bCs w:val="0"/>
          <w:color w:val="auto"/>
          <w:sz w:val="30"/>
          <w:szCs w:val="30"/>
          <w:lang w:val="en-US" w:eastAsia="zh-CN"/>
        </w:rPr>
        <w:t>修订工作</w:t>
      </w:r>
      <w:r>
        <w:rPr>
          <w:rFonts w:hint="eastAsia" w:ascii="仿宋" w:hAnsi="仿宋" w:eastAsia="仿宋"/>
          <w:color w:val="auto"/>
          <w:sz w:val="30"/>
          <w:szCs w:val="30"/>
          <w:lang w:val="en-US" w:eastAsia="zh-CN"/>
        </w:rPr>
        <w:t>。原则上，延续2020级专业必修课程设置，选修课程可根据经济社会发展需求进行微调，微调的课程须符合国标要求。</w:t>
      </w:r>
    </w:p>
    <w:p>
      <w:pPr>
        <w:pStyle w:val="24"/>
        <w:adjustRightInd w:val="0"/>
        <w:snapToGrid w:val="0"/>
        <w:spacing w:line="360" w:lineRule="auto"/>
        <w:ind w:left="0" w:leftChars="0" w:firstLine="600" w:firstLineChars="200"/>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（一）以思政课程为基础，以课程思政为抓手，深入挖掘专业课程所蕴含的思想政治教育元素，并且体现于培养规格和专业 TOPCARES 能力指标体系中。各专业必须开设《专业导论》课程，在课程设计中根据专业实际情况融入思政内容。</w:t>
      </w:r>
    </w:p>
    <w:p>
      <w:pPr>
        <w:pStyle w:val="24"/>
        <w:adjustRightInd w:val="0"/>
        <w:snapToGrid w:val="0"/>
        <w:spacing w:line="360" w:lineRule="auto"/>
        <w:ind w:firstLine="600"/>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（二）通识必修课中有如下变动：</w:t>
      </w:r>
      <w:r>
        <w:rPr>
          <w:rFonts w:hint="eastAsia" w:ascii="仿宋" w:hAnsi="仿宋" w:eastAsia="仿宋"/>
          <w:b w:val="0"/>
          <w:bCs w:val="0"/>
          <w:color w:val="auto"/>
          <w:sz w:val="30"/>
          <w:szCs w:val="30"/>
          <w:highlight w:val="none"/>
          <w:lang w:val="en-US" w:eastAsia="zh-CN"/>
        </w:rPr>
        <w:t>思政类课程增设2学分思政实践课，其它思政课学分相应减少，总学分保持不变；</w:t>
      </w:r>
      <w:r>
        <w:rPr>
          <w:rFonts w:hint="eastAsia" w:ascii="仿宋" w:hAnsi="仿宋" w:eastAsia="仿宋"/>
          <w:b w:val="0"/>
          <w:bCs w:val="0"/>
          <w:color w:val="auto"/>
          <w:sz w:val="30"/>
          <w:szCs w:val="30"/>
          <w:lang w:val="en-US" w:eastAsia="zh-CN"/>
        </w:rPr>
        <w:t>素质类课程《劳动教育》设置0.5学分，理论学时8学时。</w:t>
      </w:r>
    </w:p>
    <w:p>
      <w:pPr>
        <w:pStyle w:val="24"/>
        <w:adjustRightInd w:val="0"/>
        <w:snapToGrid w:val="0"/>
        <w:spacing w:line="360" w:lineRule="auto"/>
        <w:ind w:firstLine="600"/>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三）建议有条件的专业，在专业选修课中开设《XXXX专业创新实践课》，授课形式为：理论授课+实践教学（项目、活动、学科竞赛等），其中实践教学课时应超过70%，学生修完考核合格后将获得创新创业及素质教育实践学分。</w:t>
      </w:r>
    </w:p>
    <w:p>
      <w:pPr>
        <w:pStyle w:val="24"/>
        <w:adjustRightInd w:val="0"/>
        <w:snapToGrid w:val="0"/>
        <w:spacing w:line="360" w:lineRule="auto"/>
        <w:ind w:firstLine="600"/>
        <w:rPr>
          <w:rFonts w:hint="eastAsia"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（四）通识选修课中开设一门创新创业实践课，面向全校学生，计算为创新创业及素质教育实践学分，实践课时应超过70%。</w:t>
      </w:r>
    </w:p>
    <w:p>
      <w:pPr>
        <w:pStyle w:val="24"/>
        <w:adjustRightInd w:val="0"/>
        <w:snapToGrid w:val="0"/>
        <w:spacing w:line="360" w:lineRule="auto"/>
        <w:ind w:firstLine="600"/>
        <w:rPr>
          <w:rFonts w:hint="default" w:ascii="仿宋" w:hAnsi="仿宋" w:eastAsia="仿宋"/>
          <w:b w:val="0"/>
          <w:bCs w:val="0"/>
          <w:color w:val="auto"/>
          <w:sz w:val="30"/>
          <w:szCs w:val="30"/>
          <w:lang w:val="en-US" w:eastAsia="zh-CN"/>
        </w:rPr>
      </w:pPr>
      <w:r>
        <w:rPr>
          <w:rFonts w:hint="eastAsia" w:ascii="仿宋" w:hAnsi="仿宋" w:eastAsia="仿宋"/>
          <w:b w:val="0"/>
          <w:bCs w:val="0"/>
          <w:color w:val="auto"/>
          <w:sz w:val="30"/>
          <w:szCs w:val="30"/>
          <w:lang w:val="en-US" w:eastAsia="zh-CN"/>
        </w:rPr>
        <w:t>（五）集中实践环节《项目实训》改为8学分，对应周数为8周（商务英语和日语专业为4学分，对应周数为4周）。《毕业设计》改为6学分，对应周数保持不变。</w:t>
      </w:r>
    </w:p>
    <w:p>
      <w:pPr>
        <w:pStyle w:val="25"/>
        <w:keepNext w:val="0"/>
        <w:keepLines w:val="0"/>
        <w:pageBreakBefore w:val="0"/>
        <w:widowControl w:val="0"/>
        <w:numPr>
          <w:ilvl w:val="0"/>
          <w:numId w:val="1"/>
        </w:numPr>
        <w:kinsoku/>
        <w:wordWrap/>
        <w:overflowPunct/>
        <w:topLinePunct w:val="0"/>
        <w:autoSpaceDE/>
        <w:autoSpaceDN/>
        <w:bidi w:val="0"/>
        <w:adjustRightInd/>
        <w:snapToGrid/>
        <w:spacing w:before="120" w:beforeLines="50" w:after="120" w:afterLines="50" w:line="360" w:lineRule="auto"/>
        <w:ind w:left="0"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职责分工</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（一）教务部负责全校人才培养方案</w:t>
      </w:r>
      <w:r>
        <w:rPr>
          <w:rFonts w:hint="eastAsia" w:ascii="仿宋" w:hAnsi="仿宋" w:eastAsia="仿宋"/>
          <w:color w:val="auto"/>
          <w:sz w:val="30"/>
          <w:szCs w:val="30"/>
          <w:lang w:val="en-US" w:eastAsia="zh-CN"/>
        </w:rPr>
        <w:t>制定（</w:t>
      </w:r>
      <w:r>
        <w:rPr>
          <w:rFonts w:hint="eastAsia" w:ascii="仿宋" w:hAnsi="仿宋" w:eastAsia="仿宋"/>
          <w:color w:val="auto"/>
          <w:sz w:val="30"/>
          <w:szCs w:val="30"/>
        </w:rPr>
        <w:t>修订</w:t>
      </w:r>
      <w:r>
        <w:rPr>
          <w:rFonts w:hint="eastAsia" w:ascii="仿宋" w:hAnsi="仿宋" w:eastAsia="仿宋"/>
          <w:color w:val="auto"/>
          <w:sz w:val="30"/>
          <w:szCs w:val="30"/>
          <w:lang w:val="en-US" w:eastAsia="zh-CN"/>
        </w:rPr>
        <w:t>）</w:t>
      </w:r>
      <w:r>
        <w:rPr>
          <w:rFonts w:hint="eastAsia" w:ascii="仿宋" w:hAnsi="仿宋" w:eastAsia="仿宋"/>
          <w:color w:val="auto"/>
          <w:sz w:val="30"/>
          <w:szCs w:val="30"/>
        </w:rPr>
        <w:t>的组</w:t>
      </w:r>
      <w:bookmarkStart w:id="0" w:name="_GoBack"/>
      <w:bookmarkEnd w:id="0"/>
      <w:r>
        <w:rPr>
          <w:rFonts w:hint="eastAsia" w:ascii="仿宋" w:hAnsi="仿宋" w:eastAsia="仿宋"/>
          <w:color w:val="auto"/>
          <w:sz w:val="30"/>
          <w:szCs w:val="30"/>
        </w:rPr>
        <w:t>织、协调和统筹工作，提出</w:t>
      </w:r>
      <w:r>
        <w:rPr>
          <w:rFonts w:hint="eastAsia" w:ascii="仿宋" w:hAnsi="仿宋" w:eastAsia="仿宋"/>
          <w:color w:val="auto"/>
          <w:sz w:val="30"/>
          <w:szCs w:val="30"/>
          <w:lang w:val="en-US" w:eastAsia="zh-CN"/>
        </w:rPr>
        <w:t>制定（修订）</w:t>
      </w:r>
      <w:r>
        <w:rPr>
          <w:rFonts w:hint="eastAsia" w:ascii="仿宋" w:hAnsi="仿宋" w:eastAsia="仿宋"/>
          <w:color w:val="auto"/>
          <w:sz w:val="30"/>
          <w:szCs w:val="30"/>
        </w:rPr>
        <w:t>202</w:t>
      </w:r>
      <w:r>
        <w:rPr>
          <w:rFonts w:hint="eastAsia" w:ascii="仿宋" w:hAnsi="仿宋" w:eastAsia="仿宋"/>
          <w:color w:val="auto"/>
          <w:sz w:val="30"/>
          <w:szCs w:val="30"/>
          <w:lang w:val="en-US" w:eastAsia="zh-CN"/>
        </w:rPr>
        <w:t>1级本科</w:t>
      </w:r>
      <w:r>
        <w:rPr>
          <w:rFonts w:hint="eastAsia" w:ascii="仿宋" w:hAnsi="仿宋" w:eastAsia="仿宋"/>
          <w:color w:val="auto"/>
          <w:sz w:val="30"/>
          <w:szCs w:val="30"/>
        </w:rPr>
        <w:t>专业人才培养方案的原则意见。</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（二）各</w:t>
      </w:r>
      <w:r>
        <w:rPr>
          <w:rFonts w:hint="eastAsia" w:ascii="仿宋" w:hAnsi="仿宋" w:eastAsia="仿宋"/>
          <w:color w:val="auto"/>
          <w:sz w:val="30"/>
          <w:szCs w:val="30"/>
          <w:u w:val="none"/>
          <w:lang w:val="en-US" w:eastAsia="zh-CN"/>
        </w:rPr>
        <w:t>专业负责人</w:t>
      </w:r>
      <w:r>
        <w:rPr>
          <w:rFonts w:hint="eastAsia" w:ascii="仿宋" w:hAnsi="仿宋" w:eastAsia="仿宋"/>
          <w:color w:val="auto"/>
          <w:sz w:val="30"/>
          <w:szCs w:val="30"/>
        </w:rPr>
        <w:t>作为培养方案</w:t>
      </w:r>
      <w:r>
        <w:rPr>
          <w:rFonts w:hint="eastAsia" w:ascii="仿宋" w:hAnsi="仿宋" w:eastAsia="仿宋"/>
          <w:color w:val="auto"/>
          <w:sz w:val="30"/>
          <w:szCs w:val="30"/>
          <w:lang w:val="en-US" w:eastAsia="zh-CN"/>
        </w:rPr>
        <w:t>制定（</w:t>
      </w:r>
      <w:r>
        <w:rPr>
          <w:rFonts w:hint="eastAsia" w:ascii="仿宋" w:hAnsi="仿宋" w:eastAsia="仿宋"/>
          <w:color w:val="auto"/>
          <w:sz w:val="30"/>
          <w:szCs w:val="30"/>
        </w:rPr>
        <w:t>修订</w:t>
      </w:r>
      <w:r>
        <w:rPr>
          <w:rFonts w:hint="eastAsia" w:ascii="仿宋" w:hAnsi="仿宋" w:eastAsia="仿宋"/>
          <w:color w:val="auto"/>
          <w:sz w:val="30"/>
          <w:szCs w:val="30"/>
          <w:lang w:val="en-US" w:eastAsia="zh-CN"/>
        </w:rPr>
        <w:t>）</w:t>
      </w:r>
      <w:r>
        <w:rPr>
          <w:rFonts w:hint="eastAsia" w:ascii="仿宋" w:hAnsi="仿宋" w:eastAsia="仿宋"/>
          <w:color w:val="auto"/>
          <w:sz w:val="30"/>
          <w:szCs w:val="30"/>
        </w:rPr>
        <w:t>的第一责任人，全面负责本学院各专业人才培养方案的</w:t>
      </w:r>
      <w:r>
        <w:rPr>
          <w:rFonts w:hint="eastAsia" w:ascii="仿宋" w:hAnsi="仿宋" w:eastAsia="仿宋"/>
          <w:color w:val="auto"/>
          <w:sz w:val="30"/>
          <w:szCs w:val="30"/>
          <w:lang w:val="en-US" w:eastAsia="zh-CN"/>
        </w:rPr>
        <w:t>制定（</w:t>
      </w:r>
      <w:r>
        <w:rPr>
          <w:rFonts w:hint="eastAsia" w:ascii="仿宋" w:hAnsi="仿宋" w:eastAsia="仿宋"/>
          <w:color w:val="auto"/>
          <w:sz w:val="30"/>
          <w:szCs w:val="30"/>
        </w:rPr>
        <w:t>修订</w:t>
      </w:r>
      <w:r>
        <w:rPr>
          <w:rFonts w:hint="eastAsia" w:ascii="仿宋" w:hAnsi="仿宋" w:eastAsia="仿宋"/>
          <w:color w:val="auto"/>
          <w:sz w:val="30"/>
          <w:szCs w:val="30"/>
          <w:lang w:val="en-US" w:eastAsia="zh-CN"/>
        </w:rPr>
        <w:t>）</w:t>
      </w:r>
      <w:r>
        <w:rPr>
          <w:rFonts w:hint="eastAsia" w:ascii="仿宋" w:hAnsi="仿宋" w:eastAsia="仿宋"/>
          <w:color w:val="auto"/>
          <w:sz w:val="30"/>
          <w:szCs w:val="30"/>
        </w:rPr>
        <w:t>工作</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在认真学习2020年和2021年人才培养方案指导意见的基础上，</w:t>
      </w:r>
      <w:r>
        <w:rPr>
          <w:rFonts w:hint="eastAsia" w:ascii="仿宋" w:hAnsi="仿宋" w:eastAsia="仿宋"/>
          <w:color w:val="auto"/>
          <w:sz w:val="30"/>
          <w:szCs w:val="30"/>
        </w:rPr>
        <w:t>广泛调研，充分论证，借鉴国内外相关专业的人才培养方案，</w:t>
      </w:r>
      <w:r>
        <w:rPr>
          <w:rFonts w:hint="eastAsia" w:ascii="仿宋" w:hAnsi="仿宋" w:eastAsia="仿宋"/>
          <w:color w:val="auto"/>
          <w:sz w:val="30"/>
          <w:szCs w:val="30"/>
          <w:lang w:val="en-US" w:eastAsia="zh-CN"/>
        </w:rPr>
        <w:t>制定（</w:t>
      </w:r>
      <w:r>
        <w:rPr>
          <w:rFonts w:hint="eastAsia" w:ascii="仿宋" w:hAnsi="仿宋" w:eastAsia="仿宋"/>
          <w:color w:val="auto"/>
          <w:sz w:val="30"/>
          <w:szCs w:val="30"/>
        </w:rPr>
        <w:t>修订</w:t>
      </w:r>
      <w:r>
        <w:rPr>
          <w:rFonts w:hint="eastAsia" w:ascii="仿宋" w:hAnsi="仿宋" w:eastAsia="仿宋"/>
          <w:color w:val="auto"/>
          <w:sz w:val="30"/>
          <w:szCs w:val="30"/>
          <w:lang w:val="en-US" w:eastAsia="zh-CN"/>
        </w:rPr>
        <w:t>）2021级本科人才培养方案，并由各学院组织教学指导分委员会进行审议</w:t>
      </w:r>
      <w:r>
        <w:rPr>
          <w:rFonts w:hint="eastAsia" w:ascii="仿宋" w:hAnsi="仿宋" w:eastAsia="仿宋"/>
          <w:color w:val="auto"/>
          <w:sz w:val="30"/>
          <w:szCs w:val="30"/>
        </w:rPr>
        <w:t>。</w:t>
      </w:r>
    </w:p>
    <w:p>
      <w:pPr>
        <w:pStyle w:val="24"/>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（三）经学校教学指导委员会组织评审论证</w:t>
      </w: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报集团专业教学委员会审核通过后</w:t>
      </w:r>
      <w:r>
        <w:rPr>
          <w:rFonts w:hint="eastAsia" w:ascii="仿宋" w:hAnsi="仿宋" w:eastAsia="仿宋"/>
          <w:color w:val="auto"/>
          <w:sz w:val="30"/>
          <w:szCs w:val="30"/>
        </w:rPr>
        <w:t>组织实施</w:t>
      </w:r>
      <w:r>
        <w:rPr>
          <w:rFonts w:ascii="仿宋" w:hAnsi="仿宋" w:eastAsia="仿宋"/>
          <w:color w:val="auto"/>
          <w:sz w:val="30"/>
          <w:szCs w:val="30"/>
        </w:rPr>
        <w:t>。</w:t>
      </w:r>
      <w:r>
        <w:rPr>
          <w:rFonts w:hint="eastAsia" w:ascii="仿宋" w:hAnsi="仿宋" w:eastAsia="仿宋"/>
          <w:color w:val="auto"/>
          <w:sz w:val="30"/>
          <w:szCs w:val="30"/>
        </w:rPr>
        <w:t>2021</w:t>
      </w:r>
      <w:r>
        <w:rPr>
          <w:rFonts w:hint="eastAsia" w:ascii="仿宋" w:hAnsi="仿宋" w:eastAsia="仿宋"/>
          <w:color w:val="auto"/>
          <w:sz w:val="30"/>
          <w:szCs w:val="30"/>
          <w:lang w:val="en-US" w:eastAsia="zh-CN"/>
        </w:rPr>
        <w:t>级本科</w:t>
      </w:r>
      <w:r>
        <w:rPr>
          <w:rFonts w:hint="eastAsia" w:ascii="仿宋" w:hAnsi="仿宋" w:eastAsia="仿宋"/>
          <w:color w:val="auto"/>
          <w:sz w:val="30"/>
          <w:szCs w:val="30"/>
        </w:rPr>
        <w:t>人才培养方案一经确定，各学院必须严格执行，落实好责任制，不得无故随意变更。</w:t>
      </w:r>
    </w:p>
    <w:p>
      <w:pPr>
        <w:spacing w:line="640" w:lineRule="exact"/>
        <w:jc w:val="both"/>
        <w:rPr>
          <w:rFonts w:ascii="仿宋" w:hAnsi="仿宋" w:eastAsia="仿宋" w:cs="仿宋"/>
          <w:bCs/>
          <w:color w:val="auto"/>
          <w:sz w:val="32"/>
          <w:szCs w:val="32"/>
        </w:rPr>
      </w:pPr>
    </w:p>
    <w:sectPr>
      <w:pgSz w:w="11906" w:h="16838"/>
      <w:pgMar w:top="748" w:right="1797" w:bottom="618"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9117F"/>
    <w:multiLevelType w:val="multilevel"/>
    <w:tmpl w:val="3939117F"/>
    <w:lvl w:ilvl="0" w:tentative="0">
      <w:start w:val="1"/>
      <w:numFmt w:val="chineseCountingThousand"/>
      <w:suff w:val="space"/>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58"/>
    <w:rsid w:val="0000796F"/>
    <w:rsid w:val="0001178D"/>
    <w:rsid w:val="000119B1"/>
    <w:rsid w:val="0001679E"/>
    <w:rsid w:val="0002183B"/>
    <w:rsid w:val="0002274B"/>
    <w:rsid w:val="0002741B"/>
    <w:rsid w:val="0003505D"/>
    <w:rsid w:val="00035F87"/>
    <w:rsid w:val="000433CA"/>
    <w:rsid w:val="00045087"/>
    <w:rsid w:val="00050D80"/>
    <w:rsid w:val="00051D0E"/>
    <w:rsid w:val="00051DBF"/>
    <w:rsid w:val="00064B1E"/>
    <w:rsid w:val="00066BBB"/>
    <w:rsid w:val="0007107F"/>
    <w:rsid w:val="00072F97"/>
    <w:rsid w:val="000750A2"/>
    <w:rsid w:val="00077658"/>
    <w:rsid w:val="0008334F"/>
    <w:rsid w:val="00084CA7"/>
    <w:rsid w:val="000857E2"/>
    <w:rsid w:val="000876A4"/>
    <w:rsid w:val="0009146C"/>
    <w:rsid w:val="0009226C"/>
    <w:rsid w:val="00092CB0"/>
    <w:rsid w:val="00093A43"/>
    <w:rsid w:val="00093AA6"/>
    <w:rsid w:val="0009765C"/>
    <w:rsid w:val="000A199B"/>
    <w:rsid w:val="000A2136"/>
    <w:rsid w:val="000A495A"/>
    <w:rsid w:val="000A7C9C"/>
    <w:rsid w:val="000B0229"/>
    <w:rsid w:val="000B0696"/>
    <w:rsid w:val="000B1615"/>
    <w:rsid w:val="000B4348"/>
    <w:rsid w:val="000B4AF7"/>
    <w:rsid w:val="000B66E5"/>
    <w:rsid w:val="000C58D9"/>
    <w:rsid w:val="000C67AB"/>
    <w:rsid w:val="000D2BA5"/>
    <w:rsid w:val="000E5492"/>
    <w:rsid w:val="000F168F"/>
    <w:rsid w:val="000F41CC"/>
    <w:rsid w:val="00100AF0"/>
    <w:rsid w:val="00101892"/>
    <w:rsid w:val="00102304"/>
    <w:rsid w:val="0010291C"/>
    <w:rsid w:val="00107C8D"/>
    <w:rsid w:val="001113A9"/>
    <w:rsid w:val="00111615"/>
    <w:rsid w:val="00114197"/>
    <w:rsid w:val="00114530"/>
    <w:rsid w:val="0012067A"/>
    <w:rsid w:val="00135253"/>
    <w:rsid w:val="00141405"/>
    <w:rsid w:val="0014235A"/>
    <w:rsid w:val="00147B24"/>
    <w:rsid w:val="001530BB"/>
    <w:rsid w:val="0015401D"/>
    <w:rsid w:val="00166E05"/>
    <w:rsid w:val="00174A00"/>
    <w:rsid w:val="00176D9A"/>
    <w:rsid w:val="00180AED"/>
    <w:rsid w:val="0018545F"/>
    <w:rsid w:val="00186C78"/>
    <w:rsid w:val="001941FD"/>
    <w:rsid w:val="001A5195"/>
    <w:rsid w:val="001A759F"/>
    <w:rsid w:val="001A7CD7"/>
    <w:rsid w:val="001B1A4A"/>
    <w:rsid w:val="001B1A6F"/>
    <w:rsid w:val="001C2E05"/>
    <w:rsid w:val="001C45CE"/>
    <w:rsid w:val="001C49BC"/>
    <w:rsid w:val="001C5AFA"/>
    <w:rsid w:val="001C74E6"/>
    <w:rsid w:val="001D3AB5"/>
    <w:rsid w:val="001D69FB"/>
    <w:rsid w:val="001D7300"/>
    <w:rsid w:val="001E0F7F"/>
    <w:rsid w:val="001E5A42"/>
    <w:rsid w:val="001E65A9"/>
    <w:rsid w:val="001E65F5"/>
    <w:rsid w:val="001F1DF2"/>
    <w:rsid w:val="001F762C"/>
    <w:rsid w:val="002062A7"/>
    <w:rsid w:val="002078A7"/>
    <w:rsid w:val="002103EB"/>
    <w:rsid w:val="002133E7"/>
    <w:rsid w:val="00215330"/>
    <w:rsid w:val="00230173"/>
    <w:rsid w:val="00232D51"/>
    <w:rsid w:val="00232F3B"/>
    <w:rsid w:val="00233DDC"/>
    <w:rsid w:val="002400E2"/>
    <w:rsid w:val="00243172"/>
    <w:rsid w:val="00243F5E"/>
    <w:rsid w:val="00250F98"/>
    <w:rsid w:val="002530CD"/>
    <w:rsid w:val="00260DCA"/>
    <w:rsid w:val="00267180"/>
    <w:rsid w:val="00267C92"/>
    <w:rsid w:val="00271BA6"/>
    <w:rsid w:val="002742BE"/>
    <w:rsid w:val="00281019"/>
    <w:rsid w:val="00281C7D"/>
    <w:rsid w:val="00281F65"/>
    <w:rsid w:val="00283EB4"/>
    <w:rsid w:val="0029509C"/>
    <w:rsid w:val="00296FBE"/>
    <w:rsid w:val="002A0EF0"/>
    <w:rsid w:val="002A5DA4"/>
    <w:rsid w:val="002B22BA"/>
    <w:rsid w:val="002B7366"/>
    <w:rsid w:val="002C1B67"/>
    <w:rsid w:val="002C2665"/>
    <w:rsid w:val="002C27B3"/>
    <w:rsid w:val="002C6A03"/>
    <w:rsid w:val="002D0BB3"/>
    <w:rsid w:val="002D47EF"/>
    <w:rsid w:val="002D6D14"/>
    <w:rsid w:val="002D74FD"/>
    <w:rsid w:val="002D79E7"/>
    <w:rsid w:val="002E1329"/>
    <w:rsid w:val="002E2C6B"/>
    <w:rsid w:val="002E59EA"/>
    <w:rsid w:val="002F28A5"/>
    <w:rsid w:val="002F4083"/>
    <w:rsid w:val="002F5208"/>
    <w:rsid w:val="002F6F41"/>
    <w:rsid w:val="00310EA4"/>
    <w:rsid w:val="00321964"/>
    <w:rsid w:val="003220F1"/>
    <w:rsid w:val="0032679D"/>
    <w:rsid w:val="00330800"/>
    <w:rsid w:val="00337300"/>
    <w:rsid w:val="003404C1"/>
    <w:rsid w:val="003406F4"/>
    <w:rsid w:val="00345A1A"/>
    <w:rsid w:val="00353AF4"/>
    <w:rsid w:val="0035706F"/>
    <w:rsid w:val="00360C80"/>
    <w:rsid w:val="00371223"/>
    <w:rsid w:val="003715C3"/>
    <w:rsid w:val="00377E63"/>
    <w:rsid w:val="00381F13"/>
    <w:rsid w:val="00384017"/>
    <w:rsid w:val="00387976"/>
    <w:rsid w:val="003B089F"/>
    <w:rsid w:val="003B44C5"/>
    <w:rsid w:val="003B624B"/>
    <w:rsid w:val="003C2E8A"/>
    <w:rsid w:val="003C33D8"/>
    <w:rsid w:val="003C7E46"/>
    <w:rsid w:val="003E38D2"/>
    <w:rsid w:val="003E6B37"/>
    <w:rsid w:val="003F3084"/>
    <w:rsid w:val="00403750"/>
    <w:rsid w:val="00411BBA"/>
    <w:rsid w:val="004144F7"/>
    <w:rsid w:val="00415396"/>
    <w:rsid w:val="00416199"/>
    <w:rsid w:val="00420026"/>
    <w:rsid w:val="00427B77"/>
    <w:rsid w:val="00436CBF"/>
    <w:rsid w:val="00441F49"/>
    <w:rsid w:val="00443B23"/>
    <w:rsid w:val="00445144"/>
    <w:rsid w:val="0044619A"/>
    <w:rsid w:val="0044699F"/>
    <w:rsid w:val="0045048E"/>
    <w:rsid w:val="00450AB7"/>
    <w:rsid w:val="00450BA1"/>
    <w:rsid w:val="00454377"/>
    <w:rsid w:val="004626F1"/>
    <w:rsid w:val="004627D0"/>
    <w:rsid w:val="004644B5"/>
    <w:rsid w:val="00464DBC"/>
    <w:rsid w:val="00465918"/>
    <w:rsid w:val="00466549"/>
    <w:rsid w:val="004669F5"/>
    <w:rsid w:val="00470BFB"/>
    <w:rsid w:val="004773B2"/>
    <w:rsid w:val="0049346D"/>
    <w:rsid w:val="0049362E"/>
    <w:rsid w:val="00494414"/>
    <w:rsid w:val="00495C48"/>
    <w:rsid w:val="0049602C"/>
    <w:rsid w:val="00496C33"/>
    <w:rsid w:val="004A47A7"/>
    <w:rsid w:val="004A5CF2"/>
    <w:rsid w:val="004A5F4E"/>
    <w:rsid w:val="004A62CE"/>
    <w:rsid w:val="004B4161"/>
    <w:rsid w:val="004B55B6"/>
    <w:rsid w:val="004B60E0"/>
    <w:rsid w:val="004B75D1"/>
    <w:rsid w:val="004C2919"/>
    <w:rsid w:val="004C4A9E"/>
    <w:rsid w:val="004D314C"/>
    <w:rsid w:val="004D3CE7"/>
    <w:rsid w:val="004E0B24"/>
    <w:rsid w:val="004E1EE3"/>
    <w:rsid w:val="004E2D50"/>
    <w:rsid w:val="004E30EE"/>
    <w:rsid w:val="004E3692"/>
    <w:rsid w:val="004E3D3E"/>
    <w:rsid w:val="004E4C9D"/>
    <w:rsid w:val="004E5BD3"/>
    <w:rsid w:val="004F0C86"/>
    <w:rsid w:val="00506704"/>
    <w:rsid w:val="0050704A"/>
    <w:rsid w:val="00507EBC"/>
    <w:rsid w:val="0051369B"/>
    <w:rsid w:val="0051538C"/>
    <w:rsid w:val="00516E97"/>
    <w:rsid w:val="00524A3B"/>
    <w:rsid w:val="005264FF"/>
    <w:rsid w:val="00527F30"/>
    <w:rsid w:val="00537E86"/>
    <w:rsid w:val="00541441"/>
    <w:rsid w:val="00541BE3"/>
    <w:rsid w:val="00541D0A"/>
    <w:rsid w:val="00551616"/>
    <w:rsid w:val="0055244A"/>
    <w:rsid w:val="00563091"/>
    <w:rsid w:val="00572077"/>
    <w:rsid w:val="00575EA0"/>
    <w:rsid w:val="0058088B"/>
    <w:rsid w:val="00582236"/>
    <w:rsid w:val="0058433D"/>
    <w:rsid w:val="00584D32"/>
    <w:rsid w:val="00584E4D"/>
    <w:rsid w:val="0058760E"/>
    <w:rsid w:val="005933F0"/>
    <w:rsid w:val="005B1CD3"/>
    <w:rsid w:val="005B4F64"/>
    <w:rsid w:val="005B60D5"/>
    <w:rsid w:val="005C05F5"/>
    <w:rsid w:val="005C0E90"/>
    <w:rsid w:val="005C212E"/>
    <w:rsid w:val="005C4127"/>
    <w:rsid w:val="005D1E86"/>
    <w:rsid w:val="005D261A"/>
    <w:rsid w:val="005D46AB"/>
    <w:rsid w:val="005D64EA"/>
    <w:rsid w:val="005E483E"/>
    <w:rsid w:val="005E6BA6"/>
    <w:rsid w:val="005F6873"/>
    <w:rsid w:val="00601179"/>
    <w:rsid w:val="006019C3"/>
    <w:rsid w:val="00601CDC"/>
    <w:rsid w:val="00605B7B"/>
    <w:rsid w:val="00611C53"/>
    <w:rsid w:val="00622F00"/>
    <w:rsid w:val="006261ED"/>
    <w:rsid w:val="006319D2"/>
    <w:rsid w:val="0063215A"/>
    <w:rsid w:val="00635DEC"/>
    <w:rsid w:val="00641BC7"/>
    <w:rsid w:val="00643105"/>
    <w:rsid w:val="006479A2"/>
    <w:rsid w:val="00655506"/>
    <w:rsid w:val="00655C13"/>
    <w:rsid w:val="0066779E"/>
    <w:rsid w:val="006716E3"/>
    <w:rsid w:val="00671F60"/>
    <w:rsid w:val="00672C23"/>
    <w:rsid w:val="006743FE"/>
    <w:rsid w:val="00676F24"/>
    <w:rsid w:val="0069598B"/>
    <w:rsid w:val="00695D8A"/>
    <w:rsid w:val="00696B51"/>
    <w:rsid w:val="006A4011"/>
    <w:rsid w:val="006A459E"/>
    <w:rsid w:val="006A4DA8"/>
    <w:rsid w:val="006B59D3"/>
    <w:rsid w:val="006B6B6B"/>
    <w:rsid w:val="006B7F92"/>
    <w:rsid w:val="006C0867"/>
    <w:rsid w:val="006D6AA0"/>
    <w:rsid w:val="006E0470"/>
    <w:rsid w:val="006E20FD"/>
    <w:rsid w:val="006E328A"/>
    <w:rsid w:val="006E45AC"/>
    <w:rsid w:val="006E6573"/>
    <w:rsid w:val="006F2F79"/>
    <w:rsid w:val="006F4D93"/>
    <w:rsid w:val="006F708B"/>
    <w:rsid w:val="007007F3"/>
    <w:rsid w:val="007014EB"/>
    <w:rsid w:val="0070706A"/>
    <w:rsid w:val="007152BD"/>
    <w:rsid w:val="00715B86"/>
    <w:rsid w:val="00717336"/>
    <w:rsid w:val="00720016"/>
    <w:rsid w:val="0073226F"/>
    <w:rsid w:val="00732853"/>
    <w:rsid w:val="007377E7"/>
    <w:rsid w:val="00745403"/>
    <w:rsid w:val="0074696E"/>
    <w:rsid w:val="007514A9"/>
    <w:rsid w:val="00757E5E"/>
    <w:rsid w:val="007606E5"/>
    <w:rsid w:val="0076126E"/>
    <w:rsid w:val="0077072C"/>
    <w:rsid w:val="007710DC"/>
    <w:rsid w:val="00771279"/>
    <w:rsid w:val="0077430C"/>
    <w:rsid w:val="0077452E"/>
    <w:rsid w:val="007746D1"/>
    <w:rsid w:val="00774C9E"/>
    <w:rsid w:val="007757AD"/>
    <w:rsid w:val="00777C71"/>
    <w:rsid w:val="00777C76"/>
    <w:rsid w:val="007807CB"/>
    <w:rsid w:val="00784738"/>
    <w:rsid w:val="007875A3"/>
    <w:rsid w:val="00790988"/>
    <w:rsid w:val="0079107A"/>
    <w:rsid w:val="007962FF"/>
    <w:rsid w:val="007968C1"/>
    <w:rsid w:val="007A5566"/>
    <w:rsid w:val="007A752A"/>
    <w:rsid w:val="007B0964"/>
    <w:rsid w:val="007B0B50"/>
    <w:rsid w:val="007B14A2"/>
    <w:rsid w:val="007B2042"/>
    <w:rsid w:val="007B3206"/>
    <w:rsid w:val="007B3EE7"/>
    <w:rsid w:val="007C4B71"/>
    <w:rsid w:val="007C655C"/>
    <w:rsid w:val="007D1D2B"/>
    <w:rsid w:val="007D3AEF"/>
    <w:rsid w:val="007D71D2"/>
    <w:rsid w:val="007E3C75"/>
    <w:rsid w:val="007E77F5"/>
    <w:rsid w:val="007F0C6B"/>
    <w:rsid w:val="007F4940"/>
    <w:rsid w:val="00804AA7"/>
    <w:rsid w:val="00810B40"/>
    <w:rsid w:val="00810DFC"/>
    <w:rsid w:val="00813B10"/>
    <w:rsid w:val="008311A5"/>
    <w:rsid w:val="008330E5"/>
    <w:rsid w:val="00837B01"/>
    <w:rsid w:val="00837FAB"/>
    <w:rsid w:val="00842412"/>
    <w:rsid w:val="008460AE"/>
    <w:rsid w:val="00847933"/>
    <w:rsid w:val="00853359"/>
    <w:rsid w:val="0086591B"/>
    <w:rsid w:val="00872D40"/>
    <w:rsid w:val="00873A50"/>
    <w:rsid w:val="00882BF9"/>
    <w:rsid w:val="00887AC1"/>
    <w:rsid w:val="00891058"/>
    <w:rsid w:val="00892501"/>
    <w:rsid w:val="008925DA"/>
    <w:rsid w:val="00896828"/>
    <w:rsid w:val="008A0BC6"/>
    <w:rsid w:val="008A45BE"/>
    <w:rsid w:val="008A5F61"/>
    <w:rsid w:val="008A7D63"/>
    <w:rsid w:val="008B3D8A"/>
    <w:rsid w:val="008B4956"/>
    <w:rsid w:val="008B750F"/>
    <w:rsid w:val="008C7189"/>
    <w:rsid w:val="008D44C0"/>
    <w:rsid w:val="008E3144"/>
    <w:rsid w:val="008E3A94"/>
    <w:rsid w:val="008F1BCF"/>
    <w:rsid w:val="008F68A1"/>
    <w:rsid w:val="00905F89"/>
    <w:rsid w:val="0090771A"/>
    <w:rsid w:val="00911EA7"/>
    <w:rsid w:val="00911EC6"/>
    <w:rsid w:val="00926085"/>
    <w:rsid w:val="00927C01"/>
    <w:rsid w:val="00930800"/>
    <w:rsid w:val="00933FB0"/>
    <w:rsid w:val="00944344"/>
    <w:rsid w:val="00947363"/>
    <w:rsid w:val="009624B1"/>
    <w:rsid w:val="00962C49"/>
    <w:rsid w:val="0096405D"/>
    <w:rsid w:val="009668E4"/>
    <w:rsid w:val="00970645"/>
    <w:rsid w:val="00971246"/>
    <w:rsid w:val="009722B7"/>
    <w:rsid w:val="009809A5"/>
    <w:rsid w:val="009824F2"/>
    <w:rsid w:val="00983FFA"/>
    <w:rsid w:val="009966F3"/>
    <w:rsid w:val="009A04DA"/>
    <w:rsid w:val="009A1917"/>
    <w:rsid w:val="009A3ABA"/>
    <w:rsid w:val="009A3BBF"/>
    <w:rsid w:val="009C1FF8"/>
    <w:rsid w:val="009C26A0"/>
    <w:rsid w:val="009C3292"/>
    <w:rsid w:val="009C3299"/>
    <w:rsid w:val="009C792C"/>
    <w:rsid w:val="009D0CA1"/>
    <w:rsid w:val="009D52FA"/>
    <w:rsid w:val="009D5A5D"/>
    <w:rsid w:val="009D75FF"/>
    <w:rsid w:val="009E5836"/>
    <w:rsid w:val="009E7533"/>
    <w:rsid w:val="009F0E3C"/>
    <w:rsid w:val="009F6F27"/>
    <w:rsid w:val="009F7F69"/>
    <w:rsid w:val="00A051CF"/>
    <w:rsid w:val="00A12003"/>
    <w:rsid w:val="00A217EA"/>
    <w:rsid w:val="00A24C1E"/>
    <w:rsid w:val="00A34DF9"/>
    <w:rsid w:val="00A362AD"/>
    <w:rsid w:val="00A366F3"/>
    <w:rsid w:val="00A43754"/>
    <w:rsid w:val="00A469F3"/>
    <w:rsid w:val="00A470C1"/>
    <w:rsid w:val="00A479A1"/>
    <w:rsid w:val="00A56D9B"/>
    <w:rsid w:val="00A62EFD"/>
    <w:rsid w:val="00A73423"/>
    <w:rsid w:val="00A778BD"/>
    <w:rsid w:val="00A8523A"/>
    <w:rsid w:val="00A90795"/>
    <w:rsid w:val="00A930F4"/>
    <w:rsid w:val="00A9496A"/>
    <w:rsid w:val="00A967B5"/>
    <w:rsid w:val="00A97550"/>
    <w:rsid w:val="00AA25B5"/>
    <w:rsid w:val="00AA705D"/>
    <w:rsid w:val="00AB1242"/>
    <w:rsid w:val="00AB52CC"/>
    <w:rsid w:val="00AB65D5"/>
    <w:rsid w:val="00AC4026"/>
    <w:rsid w:val="00AC47AD"/>
    <w:rsid w:val="00AC6CA0"/>
    <w:rsid w:val="00AD1A2C"/>
    <w:rsid w:val="00AD49E1"/>
    <w:rsid w:val="00AD5101"/>
    <w:rsid w:val="00AD5D2C"/>
    <w:rsid w:val="00AD70A7"/>
    <w:rsid w:val="00AF0675"/>
    <w:rsid w:val="00AF0D6B"/>
    <w:rsid w:val="00AF0D91"/>
    <w:rsid w:val="00B00266"/>
    <w:rsid w:val="00B01F49"/>
    <w:rsid w:val="00B03542"/>
    <w:rsid w:val="00B1095F"/>
    <w:rsid w:val="00B11175"/>
    <w:rsid w:val="00B1238F"/>
    <w:rsid w:val="00B14355"/>
    <w:rsid w:val="00B231DE"/>
    <w:rsid w:val="00B2441A"/>
    <w:rsid w:val="00B25E77"/>
    <w:rsid w:val="00B26D5A"/>
    <w:rsid w:val="00B365E4"/>
    <w:rsid w:val="00B40207"/>
    <w:rsid w:val="00B41D6C"/>
    <w:rsid w:val="00B426DB"/>
    <w:rsid w:val="00B440F4"/>
    <w:rsid w:val="00B5001A"/>
    <w:rsid w:val="00B5192E"/>
    <w:rsid w:val="00B533D4"/>
    <w:rsid w:val="00B55611"/>
    <w:rsid w:val="00B60C0A"/>
    <w:rsid w:val="00B6112A"/>
    <w:rsid w:val="00B62E8B"/>
    <w:rsid w:val="00B700FC"/>
    <w:rsid w:val="00B70305"/>
    <w:rsid w:val="00B74598"/>
    <w:rsid w:val="00B814BD"/>
    <w:rsid w:val="00B91679"/>
    <w:rsid w:val="00B94A53"/>
    <w:rsid w:val="00BB18F8"/>
    <w:rsid w:val="00BB2E3D"/>
    <w:rsid w:val="00BB33D6"/>
    <w:rsid w:val="00BB4A53"/>
    <w:rsid w:val="00BB5EBA"/>
    <w:rsid w:val="00BB6702"/>
    <w:rsid w:val="00BC0796"/>
    <w:rsid w:val="00BC2465"/>
    <w:rsid w:val="00BD2713"/>
    <w:rsid w:val="00BD5EC4"/>
    <w:rsid w:val="00BD6412"/>
    <w:rsid w:val="00BD6CA7"/>
    <w:rsid w:val="00BE2C9B"/>
    <w:rsid w:val="00BE5CD6"/>
    <w:rsid w:val="00BF08B4"/>
    <w:rsid w:val="00BF3E86"/>
    <w:rsid w:val="00C00FD8"/>
    <w:rsid w:val="00C03223"/>
    <w:rsid w:val="00C077E9"/>
    <w:rsid w:val="00C102ED"/>
    <w:rsid w:val="00C11306"/>
    <w:rsid w:val="00C118F0"/>
    <w:rsid w:val="00C12551"/>
    <w:rsid w:val="00C255E8"/>
    <w:rsid w:val="00C26212"/>
    <w:rsid w:val="00C26257"/>
    <w:rsid w:val="00C33797"/>
    <w:rsid w:val="00C33F15"/>
    <w:rsid w:val="00C40444"/>
    <w:rsid w:val="00C4714F"/>
    <w:rsid w:val="00C47DE2"/>
    <w:rsid w:val="00C6313F"/>
    <w:rsid w:val="00C6480D"/>
    <w:rsid w:val="00C66092"/>
    <w:rsid w:val="00C72BB8"/>
    <w:rsid w:val="00C7388B"/>
    <w:rsid w:val="00C83C94"/>
    <w:rsid w:val="00C91243"/>
    <w:rsid w:val="00C91530"/>
    <w:rsid w:val="00C91C3B"/>
    <w:rsid w:val="00C92398"/>
    <w:rsid w:val="00C951DF"/>
    <w:rsid w:val="00C95F40"/>
    <w:rsid w:val="00CA0314"/>
    <w:rsid w:val="00CA4263"/>
    <w:rsid w:val="00CA4297"/>
    <w:rsid w:val="00CA4BD0"/>
    <w:rsid w:val="00CA5389"/>
    <w:rsid w:val="00CA7312"/>
    <w:rsid w:val="00CB4DDD"/>
    <w:rsid w:val="00CC22D6"/>
    <w:rsid w:val="00CC30C1"/>
    <w:rsid w:val="00CC4BB3"/>
    <w:rsid w:val="00CC69A0"/>
    <w:rsid w:val="00CD3CAF"/>
    <w:rsid w:val="00CD3DDE"/>
    <w:rsid w:val="00CD4118"/>
    <w:rsid w:val="00CD4AFD"/>
    <w:rsid w:val="00CE2649"/>
    <w:rsid w:val="00CF49B5"/>
    <w:rsid w:val="00CF5AF5"/>
    <w:rsid w:val="00D00EBE"/>
    <w:rsid w:val="00D048E2"/>
    <w:rsid w:val="00D07E69"/>
    <w:rsid w:val="00D13569"/>
    <w:rsid w:val="00D135B0"/>
    <w:rsid w:val="00D15C22"/>
    <w:rsid w:val="00D202F7"/>
    <w:rsid w:val="00D21700"/>
    <w:rsid w:val="00D25C0B"/>
    <w:rsid w:val="00D308BD"/>
    <w:rsid w:val="00D31E4B"/>
    <w:rsid w:val="00D341FD"/>
    <w:rsid w:val="00D37190"/>
    <w:rsid w:val="00D43F82"/>
    <w:rsid w:val="00D50137"/>
    <w:rsid w:val="00D56736"/>
    <w:rsid w:val="00D63A03"/>
    <w:rsid w:val="00D65776"/>
    <w:rsid w:val="00D701E2"/>
    <w:rsid w:val="00D71755"/>
    <w:rsid w:val="00D72203"/>
    <w:rsid w:val="00D73626"/>
    <w:rsid w:val="00D75C0D"/>
    <w:rsid w:val="00D763CF"/>
    <w:rsid w:val="00D83C49"/>
    <w:rsid w:val="00D85A6D"/>
    <w:rsid w:val="00D93DDB"/>
    <w:rsid w:val="00D94C88"/>
    <w:rsid w:val="00D955EB"/>
    <w:rsid w:val="00D97110"/>
    <w:rsid w:val="00DA3D84"/>
    <w:rsid w:val="00DB259E"/>
    <w:rsid w:val="00DB38DF"/>
    <w:rsid w:val="00DB4DC2"/>
    <w:rsid w:val="00DB6DB5"/>
    <w:rsid w:val="00DC29EC"/>
    <w:rsid w:val="00DC2F68"/>
    <w:rsid w:val="00DC3915"/>
    <w:rsid w:val="00DD04A9"/>
    <w:rsid w:val="00DD062B"/>
    <w:rsid w:val="00DD2FCB"/>
    <w:rsid w:val="00DE3690"/>
    <w:rsid w:val="00DE608B"/>
    <w:rsid w:val="00DF259C"/>
    <w:rsid w:val="00E00751"/>
    <w:rsid w:val="00E10D05"/>
    <w:rsid w:val="00E12427"/>
    <w:rsid w:val="00E147AF"/>
    <w:rsid w:val="00E2157D"/>
    <w:rsid w:val="00E22F25"/>
    <w:rsid w:val="00E2343E"/>
    <w:rsid w:val="00E23885"/>
    <w:rsid w:val="00E26706"/>
    <w:rsid w:val="00E30084"/>
    <w:rsid w:val="00E30791"/>
    <w:rsid w:val="00E32CA7"/>
    <w:rsid w:val="00E35C00"/>
    <w:rsid w:val="00E36D47"/>
    <w:rsid w:val="00E44BC6"/>
    <w:rsid w:val="00E500C6"/>
    <w:rsid w:val="00E51B12"/>
    <w:rsid w:val="00E52E41"/>
    <w:rsid w:val="00E556BC"/>
    <w:rsid w:val="00E6343C"/>
    <w:rsid w:val="00E65520"/>
    <w:rsid w:val="00E66367"/>
    <w:rsid w:val="00E66686"/>
    <w:rsid w:val="00E74209"/>
    <w:rsid w:val="00E77952"/>
    <w:rsid w:val="00E77974"/>
    <w:rsid w:val="00E86B8C"/>
    <w:rsid w:val="00E90CC4"/>
    <w:rsid w:val="00E95E31"/>
    <w:rsid w:val="00EB07B5"/>
    <w:rsid w:val="00EB1FDD"/>
    <w:rsid w:val="00EB3870"/>
    <w:rsid w:val="00EB717A"/>
    <w:rsid w:val="00EC01D4"/>
    <w:rsid w:val="00ED04C9"/>
    <w:rsid w:val="00ED3B38"/>
    <w:rsid w:val="00EE01FF"/>
    <w:rsid w:val="00EE221B"/>
    <w:rsid w:val="00EE2C24"/>
    <w:rsid w:val="00EE4BB4"/>
    <w:rsid w:val="00EE62AE"/>
    <w:rsid w:val="00F001A3"/>
    <w:rsid w:val="00F01CBB"/>
    <w:rsid w:val="00F02554"/>
    <w:rsid w:val="00F02E19"/>
    <w:rsid w:val="00F033D7"/>
    <w:rsid w:val="00F04995"/>
    <w:rsid w:val="00F06E47"/>
    <w:rsid w:val="00F246A7"/>
    <w:rsid w:val="00F37BB7"/>
    <w:rsid w:val="00F4006E"/>
    <w:rsid w:val="00F518C9"/>
    <w:rsid w:val="00F52055"/>
    <w:rsid w:val="00F57A9B"/>
    <w:rsid w:val="00F64454"/>
    <w:rsid w:val="00F64BC8"/>
    <w:rsid w:val="00F70A69"/>
    <w:rsid w:val="00F74A5D"/>
    <w:rsid w:val="00F77081"/>
    <w:rsid w:val="00F7728E"/>
    <w:rsid w:val="00F77EEA"/>
    <w:rsid w:val="00F87264"/>
    <w:rsid w:val="00F914F6"/>
    <w:rsid w:val="00F93299"/>
    <w:rsid w:val="00F933F2"/>
    <w:rsid w:val="00F9576F"/>
    <w:rsid w:val="00FA2677"/>
    <w:rsid w:val="00FA2691"/>
    <w:rsid w:val="00FB4D83"/>
    <w:rsid w:val="00FC0BB3"/>
    <w:rsid w:val="00FC2F4D"/>
    <w:rsid w:val="00FC34D4"/>
    <w:rsid w:val="00FC4F03"/>
    <w:rsid w:val="00FD0E90"/>
    <w:rsid w:val="00FD1CFE"/>
    <w:rsid w:val="00FD20F4"/>
    <w:rsid w:val="00FD2ED8"/>
    <w:rsid w:val="00FD3EC1"/>
    <w:rsid w:val="00FD770D"/>
    <w:rsid w:val="00FE0A6D"/>
    <w:rsid w:val="00FE6251"/>
    <w:rsid w:val="00FE6579"/>
    <w:rsid w:val="00FF0D16"/>
    <w:rsid w:val="00FF0FCA"/>
    <w:rsid w:val="00FF61B1"/>
    <w:rsid w:val="029717EB"/>
    <w:rsid w:val="02B73508"/>
    <w:rsid w:val="05B40E4C"/>
    <w:rsid w:val="065C4972"/>
    <w:rsid w:val="068F6888"/>
    <w:rsid w:val="0C084712"/>
    <w:rsid w:val="0C5051A8"/>
    <w:rsid w:val="0D456AD9"/>
    <w:rsid w:val="0D914E2E"/>
    <w:rsid w:val="0E224890"/>
    <w:rsid w:val="0F6E14F4"/>
    <w:rsid w:val="0F853F26"/>
    <w:rsid w:val="10065F8A"/>
    <w:rsid w:val="10B10A0F"/>
    <w:rsid w:val="12482065"/>
    <w:rsid w:val="12E2520E"/>
    <w:rsid w:val="136A31A8"/>
    <w:rsid w:val="13F07B23"/>
    <w:rsid w:val="14FF2EA3"/>
    <w:rsid w:val="15196BE8"/>
    <w:rsid w:val="15A851DA"/>
    <w:rsid w:val="164D1BE9"/>
    <w:rsid w:val="16821613"/>
    <w:rsid w:val="16A43CB3"/>
    <w:rsid w:val="179F3494"/>
    <w:rsid w:val="1868729B"/>
    <w:rsid w:val="18F02C63"/>
    <w:rsid w:val="19E10810"/>
    <w:rsid w:val="19F84859"/>
    <w:rsid w:val="1A0617E9"/>
    <w:rsid w:val="1A375C60"/>
    <w:rsid w:val="1BE74A39"/>
    <w:rsid w:val="1CCC3155"/>
    <w:rsid w:val="1D0E55EC"/>
    <w:rsid w:val="1EC51E6E"/>
    <w:rsid w:val="1EDC25EC"/>
    <w:rsid w:val="1F260D1F"/>
    <w:rsid w:val="1FD15D58"/>
    <w:rsid w:val="1FDD16B6"/>
    <w:rsid w:val="20A16D8E"/>
    <w:rsid w:val="2206450D"/>
    <w:rsid w:val="22D21C89"/>
    <w:rsid w:val="22E03854"/>
    <w:rsid w:val="23072680"/>
    <w:rsid w:val="249A6A28"/>
    <w:rsid w:val="24F46B28"/>
    <w:rsid w:val="259D43CB"/>
    <w:rsid w:val="271B4D28"/>
    <w:rsid w:val="275614B1"/>
    <w:rsid w:val="29940ACC"/>
    <w:rsid w:val="2AE223B2"/>
    <w:rsid w:val="2B1C729A"/>
    <w:rsid w:val="2C6E57BE"/>
    <w:rsid w:val="2D7C274F"/>
    <w:rsid w:val="309928E9"/>
    <w:rsid w:val="313918CD"/>
    <w:rsid w:val="34616ADA"/>
    <w:rsid w:val="36E94C0C"/>
    <w:rsid w:val="37AE58D5"/>
    <w:rsid w:val="37D979B0"/>
    <w:rsid w:val="380F5B77"/>
    <w:rsid w:val="38636FF1"/>
    <w:rsid w:val="38FB701F"/>
    <w:rsid w:val="39BA30F0"/>
    <w:rsid w:val="3A1D4036"/>
    <w:rsid w:val="3A547FCA"/>
    <w:rsid w:val="3B84713F"/>
    <w:rsid w:val="3CF03E7F"/>
    <w:rsid w:val="437603A8"/>
    <w:rsid w:val="448D5A01"/>
    <w:rsid w:val="453A0567"/>
    <w:rsid w:val="461049DA"/>
    <w:rsid w:val="47AC78D4"/>
    <w:rsid w:val="49443FDE"/>
    <w:rsid w:val="49FD14C7"/>
    <w:rsid w:val="4C057C11"/>
    <w:rsid w:val="4D0A1A8A"/>
    <w:rsid w:val="4D5C4748"/>
    <w:rsid w:val="4F0634AF"/>
    <w:rsid w:val="4F78449B"/>
    <w:rsid w:val="51406BD7"/>
    <w:rsid w:val="517D38CB"/>
    <w:rsid w:val="52407F16"/>
    <w:rsid w:val="533C3604"/>
    <w:rsid w:val="54161C78"/>
    <w:rsid w:val="54C06369"/>
    <w:rsid w:val="5752540A"/>
    <w:rsid w:val="57611428"/>
    <w:rsid w:val="577601A8"/>
    <w:rsid w:val="58FF6E67"/>
    <w:rsid w:val="596600E4"/>
    <w:rsid w:val="5D2210E3"/>
    <w:rsid w:val="5D40105E"/>
    <w:rsid w:val="5D8C188C"/>
    <w:rsid w:val="5E814CA6"/>
    <w:rsid w:val="5EA3419C"/>
    <w:rsid w:val="61FE6983"/>
    <w:rsid w:val="62DD289F"/>
    <w:rsid w:val="630657A6"/>
    <w:rsid w:val="630C00E1"/>
    <w:rsid w:val="644B2341"/>
    <w:rsid w:val="64980847"/>
    <w:rsid w:val="64C6130A"/>
    <w:rsid w:val="6507004E"/>
    <w:rsid w:val="659F1F9A"/>
    <w:rsid w:val="65AC249E"/>
    <w:rsid w:val="65E7772A"/>
    <w:rsid w:val="66CB7646"/>
    <w:rsid w:val="68347950"/>
    <w:rsid w:val="693F2105"/>
    <w:rsid w:val="6BF45BBC"/>
    <w:rsid w:val="6CB66F8C"/>
    <w:rsid w:val="6CB90E7A"/>
    <w:rsid w:val="6DB36E32"/>
    <w:rsid w:val="6E8E67B9"/>
    <w:rsid w:val="6EE71178"/>
    <w:rsid w:val="6FAB2DD8"/>
    <w:rsid w:val="707B1A53"/>
    <w:rsid w:val="70B5108B"/>
    <w:rsid w:val="70D53F3C"/>
    <w:rsid w:val="720B4401"/>
    <w:rsid w:val="734C510D"/>
    <w:rsid w:val="74B63EA0"/>
    <w:rsid w:val="75405CAD"/>
    <w:rsid w:val="76C8689C"/>
    <w:rsid w:val="76E52766"/>
    <w:rsid w:val="77132F1E"/>
    <w:rsid w:val="77BE7BF8"/>
    <w:rsid w:val="77DF68D5"/>
    <w:rsid w:val="7A861580"/>
    <w:rsid w:val="7B2501A9"/>
    <w:rsid w:val="7D3B5ABF"/>
    <w:rsid w:val="7D6615A8"/>
    <w:rsid w:val="7F73C91F"/>
    <w:rsid w:val="DEF62EBA"/>
    <w:rsid w:val="FFF3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Date"/>
    <w:basedOn w:val="1"/>
    <w:next w:val="1"/>
    <w:link w:val="17"/>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11"/>
    <w:pPr>
      <w:widowControl/>
      <w:spacing w:before="240" w:after="60" w:line="312" w:lineRule="auto"/>
      <w:ind w:firstLine="200" w:firstLineChars="200"/>
      <w:jc w:val="center"/>
      <w:outlineLvl w:val="1"/>
    </w:pPr>
    <w:rPr>
      <w:rFonts w:eastAsia="宋体" w:asciiTheme="majorHAnsi" w:hAnsiTheme="majorHAnsi" w:cstheme="majorBidi"/>
      <w:b/>
      <w:bCs/>
      <w:kern w:val="28"/>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3"/>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annotation reference"/>
    <w:basedOn w:val="12"/>
    <w:unhideWhenUsed/>
    <w:qFormat/>
    <w:uiPriority w:val="99"/>
    <w:rPr>
      <w:sz w:val="21"/>
      <w:szCs w:val="21"/>
    </w:rPr>
  </w:style>
  <w:style w:type="character" w:customStyle="1" w:styleId="16">
    <w:name w:val="页脚 字符"/>
    <w:basedOn w:val="12"/>
    <w:link w:val="5"/>
    <w:qFormat/>
    <w:uiPriority w:val="99"/>
    <w:rPr>
      <w:rFonts w:ascii="Times New Roman" w:hAnsi="Times New Roman" w:eastAsia="宋体" w:cs="Times New Roman"/>
      <w:sz w:val="18"/>
      <w:szCs w:val="18"/>
    </w:rPr>
  </w:style>
  <w:style w:type="character" w:customStyle="1" w:styleId="17">
    <w:name w:val="日期 字符"/>
    <w:basedOn w:val="12"/>
    <w:link w:val="3"/>
    <w:semiHidden/>
    <w:qFormat/>
    <w:uiPriority w:val="99"/>
  </w:style>
  <w:style w:type="character" w:customStyle="1" w:styleId="18">
    <w:name w:val="页眉 字符"/>
    <w:basedOn w:val="12"/>
    <w:link w:val="6"/>
    <w:qFormat/>
    <w:uiPriority w:val="0"/>
    <w:rPr>
      <w:sz w:val="18"/>
      <w:szCs w:val="18"/>
    </w:rPr>
  </w:style>
  <w:style w:type="character" w:customStyle="1" w:styleId="19">
    <w:name w:val="副标题 字符"/>
    <w:basedOn w:val="12"/>
    <w:link w:val="7"/>
    <w:qFormat/>
    <w:uiPriority w:val="11"/>
    <w:rPr>
      <w:rFonts w:eastAsia="宋体" w:asciiTheme="majorHAnsi" w:hAnsiTheme="majorHAnsi" w:cstheme="majorBidi"/>
      <w:b/>
      <w:bCs/>
      <w:kern w:val="28"/>
      <w:sz w:val="32"/>
      <w:szCs w:val="32"/>
    </w:rPr>
  </w:style>
  <w:style w:type="paragraph" w:customStyle="1" w:styleId="20">
    <w:name w:val="列出段落1"/>
    <w:basedOn w:val="1"/>
    <w:qFormat/>
    <w:uiPriority w:val="34"/>
    <w:pPr>
      <w:ind w:firstLine="420" w:firstLineChars="200"/>
    </w:pPr>
  </w:style>
  <w:style w:type="character" w:customStyle="1" w:styleId="21">
    <w:name w:val="批注框文本 字符"/>
    <w:basedOn w:val="12"/>
    <w:link w:val="4"/>
    <w:semiHidden/>
    <w:qFormat/>
    <w:uiPriority w:val="99"/>
    <w:rPr>
      <w:sz w:val="18"/>
      <w:szCs w:val="18"/>
    </w:rPr>
  </w:style>
  <w:style w:type="character" w:customStyle="1" w:styleId="22">
    <w:name w:val="批注文字 字符"/>
    <w:basedOn w:val="12"/>
    <w:link w:val="2"/>
    <w:semiHidden/>
    <w:qFormat/>
    <w:uiPriority w:val="99"/>
    <w:rPr>
      <w:rFonts w:asciiTheme="minorHAnsi" w:hAnsiTheme="minorHAnsi" w:eastAsiaTheme="minorEastAsia" w:cstheme="minorBidi"/>
      <w:kern w:val="2"/>
      <w:sz w:val="21"/>
      <w:szCs w:val="22"/>
    </w:rPr>
  </w:style>
  <w:style w:type="character" w:customStyle="1" w:styleId="23">
    <w:name w:val="批注主题 字符"/>
    <w:basedOn w:val="22"/>
    <w:link w:val="9"/>
    <w:semiHidden/>
    <w:qFormat/>
    <w:uiPriority w:val="99"/>
    <w:rPr>
      <w:rFonts w:asciiTheme="minorHAnsi" w:hAnsiTheme="minorHAnsi" w:eastAsiaTheme="minorEastAsia" w:cstheme="minorBidi"/>
      <w:b/>
      <w:bCs/>
      <w:kern w:val="2"/>
      <w:sz w:val="21"/>
      <w:szCs w:val="22"/>
    </w:rPr>
  </w:style>
  <w:style w:type="paragraph" w:customStyle="1" w:styleId="24">
    <w:name w:val="列表段落1"/>
    <w:basedOn w:val="1"/>
    <w:qFormat/>
    <w:uiPriority w:val="99"/>
    <w:pPr>
      <w:ind w:firstLine="420" w:firstLineChars="200"/>
    </w:p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890</Words>
  <Characters>5074</Characters>
  <Lines>42</Lines>
  <Paragraphs>11</Paragraphs>
  <TotalTime>0</TotalTime>
  <ScaleCrop>false</ScaleCrop>
  <LinksUpToDate>false</LinksUpToDate>
  <CharactersWithSpaces>5953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2020-04-23T10:48:00Z</dcterms:created>
  <dc:creator>Administrator</dc:creator>
  <cp:lastModifiedBy>李芳</cp:lastModifiedBy>
  <cp:lastPrinted>2021-05-20T00:55:10Z</cp:lastPrinted>
  <dcterms:modified xsi:type="dcterms:W3CDTF">2021-05-20T08:59:48Z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2F9D30B8257244308217422624CF07B2</vt:lpwstr>
  </property>
</Properties>
</file>